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F0F" w:rsidRDefault="00A87F0F" w:rsidP="0086504F">
      <w:pPr>
        <w:spacing w:after="0" w:line="240" w:lineRule="auto"/>
        <w:jc w:val="center"/>
      </w:pPr>
      <w:r>
        <w:rPr>
          <w:rStyle w:val="Strong"/>
        </w:rPr>
        <w:t>PHỤ LỤC I</w:t>
      </w:r>
      <w:r>
        <w:br/>
      </w:r>
      <w:r>
        <w:rPr>
          <w:rStyle w:val="Strong"/>
        </w:rPr>
        <w:t>CÁC KIẾN NGHỊ ĐÃ ĐƯỢC GIẢI QUYẾT, XỬ LÝ</w:t>
      </w:r>
      <w:r>
        <w:br/>
      </w:r>
      <w:r>
        <w:rPr>
          <w:rStyle w:val="Emphasis"/>
        </w:rPr>
        <w:t>(14 nội dung thuộc 53 nhóm kiến nghị được tổng hợp trước Hội nghị Thường trực Chính phủ với cộng đồng               doanh nghiệp ngày 18/7/2026)</w:t>
      </w:r>
      <w:r>
        <w:t xml:space="preserve"> </w:t>
      </w:r>
    </w:p>
    <w:p w:rsidR="00AD7729" w:rsidRPr="00F55713" w:rsidRDefault="00A87F0F" w:rsidP="0086504F">
      <w:pPr>
        <w:spacing w:after="0" w:line="240" w:lineRule="auto"/>
        <w:jc w:val="center"/>
        <w:rPr>
          <w:rFonts w:cs="Times New Roman"/>
          <w:i/>
          <w:iCs/>
          <w:color w:val="000000" w:themeColor="text1"/>
        </w:rPr>
      </w:pPr>
      <w:r>
        <w:rPr>
          <w:rFonts w:cs="Times New Roman"/>
          <w:i/>
          <w:iCs/>
          <w:noProof/>
          <w:color w:val="000000" w:themeColor="text1"/>
        </w:rPr>
        <mc:AlternateContent>
          <mc:Choice Requires="wps">
            <w:drawing>
              <wp:anchor distT="0" distB="0" distL="114300" distR="114300" simplePos="0" relativeHeight="251658240" behindDoc="0" locked="0" layoutInCell="1" allowOverlap="1">
                <wp:simplePos x="0" y="0"/>
                <wp:positionH relativeFrom="column">
                  <wp:posOffset>3590925</wp:posOffset>
                </wp:positionH>
                <wp:positionV relativeFrom="paragraph">
                  <wp:posOffset>120015</wp:posOffset>
                </wp:positionV>
                <wp:extent cx="1247775" cy="0"/>
                <wp:effectExtent l="9525" t="952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C8F05DE" id="_x0000_t32" coordsize="21600,21600" o:spt="32" o:oned="t" path="m,l21600,21600e" filled="f">
                <v:path arrowok="t" fillok="f" o:connecttype="none"/>
                <o:lock v:ext="edit" shapetype="t"/>
              </v:shapetype>
              <v:shape id="AutoShape 2" o:spid="_x0000_s1026" type="#_x0000_t32" style="position:absolute;margin-left:282.75pt;margin-top:9.45pt;width:98.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5dHHgIAADsEAAAOAAAAZHJzL2Uyb0RvYy54bWysU02P2jAQvVfqf7B8h3w0LB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UA7jCTp&#10;QaKng1OhMkr9eAZtc4gq5c74BulJvupnRb9bJFXZEtnwEPx21pCb+IzoXYq/WA1F9sMXxSCGAH6Y&#10;1ak2vYeEKaBTkOR8k4SfHKLwMUmz+Xw+w4iOvojkY6I21n3mqkfeKLB1hoimdaWSEoRXJgllyPHZ&#10;Ok+L5GOCryrVVnRd0L+TaCjwcpbOQoJVnWDe6cOsafZlZ9CR+A0Kv9AjeO7DjDpIFsBaTtjmajsi&#10;uosNxTvp8aAxoHO1LivyYxkvN4vNIptk6cNmksVVNXnaltnkYZvMZ9Wnqiyr5KenlmR5Kxjj0rMb&#10;1zXJ/m4drg/nsmi3hb2NIXqPHuYFZMf/QDoo68W8rMVesfPOjIrDhobg62vyT+D+Dvb9m1//AgAA&#10;//8DAFBLAwQUAAYACAAAACEAZh0JCN0AAAAJAQAADwAAAGRycy9kb3ducmV2LnhtbEyPwW7CMBBE&#10;75X4B2uReqmKQ6SkkMZBCIlDjwWkXk28TQLxOoodkvL13aqH9rgzT7Mz+Wayrbhh7xtHCpaLCARS&#10;6UxDlYLTcf+8AuGDJqNbR6jgCz1sitlDrjPjRnrH2yFUgkPIZ1pBHUKXSenLGq32C9chsffpeqsD&#10;n30lTa9HDretjKMolVY3xB9q3eGuxvJ6GKwC9EOyjLZrW53e7uPTR3y/jN1Rqcf5tH0FEXAKfzD8&#10;1OfqUHCnsxvIeNEqSNIkYZSN1RoEAy9pzOPOv4Iscvl/QfENAAD//wMAUEsBAi0AFAAGAAgAAAAh&#10;ALaDOJL+AAAA4QEAABMAAAAAAAAAAAAAAAAAAAAAAFtDb250ZW50X1R5cGVzXS54bWxQSwECLQAU&#10;AAYACAAAACEAOP0h/9YAAACUAQAACwAAAAAAAAAAAAAAAAAvAQAAX3JlbHMvLnJlbHNQSwECLQAU&#10;AAYACAAAACEAIJeXRx4CAAA7BAAADgAAAAAAAAAAAAAAAAAuAgAAZHJzL2Uyb0RvYy54bWxQSwEC&#10;LQAUAAYACAAAACEAZh0JCN0AAAAJAQAADwAAAAAAAAAAAAAAAAB4BAAAZHJzL2Rvd25yZXYueG1s&#10;UEsFBgAAAAAEAAQA8wAAAIIFAAAAAA==&#10;"/>
            </w:pict>
          </mc:Fallback>
        </mc:AlternateContent>
      </w:r>
    </w:p>
    <w:tbl>
      <w:tblPr>
        <w:tblW w:w="1494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800"/>
        <w:gridCol w:w="2070"/>
        <w:gridCol w:w="4950"/>
        <w:gridCol w:w="1359"/>
        <w:gridCol w:w="4131"/>
      </w:tblGrid>
      <w:tr w:rsidR="0086504F" w:rsidRPr="00332777" w:rsidTr="00AF4E0A">
        <w:trPr>
          <w:trHeight w:val="530"/>
          <w:tblHeader/>
        </w:trPr>
        <w:tc>
          <w:tcPr>
            <w:tcW w:w="630" w:type="dxa"/>
            <w:vMerge w:val="restart"/>
            <w:shd w:val="clear" w:color="FFFFFF" w:fill="FFFFFF"/>
            <w:noWrap/>
            <w:vAlign w:val="center"/>
            <w:hideMark/>
          </w:tcPr>
          <w:p w:rsidR="0086504F" w:rsidRPr="00ED75D8" w:rsidRDefault="0086504F" w:rsidP="00AF4E0A">
            <w:pPr>
              <w:spacing w:after="0" w:line="240" w:lineRule="auto"/>
              <w:jc w:val="center"/>
              <w:rPr>
                <w:rFonts w:eastAsia="Times New Roman" w:cs="Times New Roman"/>
                <w:b/>
                <w:bCs/>
                <w:color w:val="000000"/>
                <w:kern w:val="0"/>
                <w:sz w:val="24"/>
                <w:lang w:eastAsia="vi-VN"/>
              </w:rPr>
            </w:pPr>
            <w:r w:rsidRPr="00332777">
              <w:rPr>
                <w:rFonts w:eastAsia="Times New Roman" w:cs="Times New Roman"/>
                <w:b/>
                <w:bCs/>
                <w:color w:val="000000"/>
                <w:kern w:val="0"/>
                <w:sz w:val="24"/>
                <w:lang w:eastAsia="vi-VN"/>
              </w:rPr>
              <w:t>STT</w:t>
            </w:r>
          </w:p>
        </w:tc>
        <w:tc>
          <w:tcPr>
            <w:tcW w:w="8820" w:type="dxa"/>
            <w:gridSpan w:val="3"/>
            <w:shd w:val="clear" w:color="FFFFFF" w:fill="FFFFFF"/>
            <w:vAlign w:val="center"/>
          </w:tcPr>
          <w:p w:rsidR="0086504F" w:rsidRPr="00B6560A" w:rsidRDefault="0086504F" w:rsidP="00AF4E0A">
            <w:pPr>
              <w:spacing w:after="0" w:line="240" w:lineRule="auto"/>
              <w:jc w:val="center"/>
              <w:rPr>
                <w:rFonts w:eastAsia="Times New Roman" w:cs="Times New Roman"/>
                <w:b/>
                <w:bCs/>
                <w:color w:val="000000"/>
                <w:kern w:val="0"/>
                <w:sz w:val="24"/>
                <w:lang w:eastAsia="vi-VN"/>
              </w:rPr>
            </w:pPr>
            <w:r>
              <w:rPr>
                <w:rFonts w:eastAsia="Times New Roman" w:cs="Times New Roman"/>
                <w:b/>
                <w:bCs/>
                <w:color w:val="000000"/>
                <w:kern w:val="0"/>
                <w:sz w:val="24"/>
                <w:lang w:eastAsia="vi-VN"/>
              </w:rPr>
              <w:t>NỘI DUNG DOANH NGHIỆP, HIỆP HỘI PHẢN ÁNH, ĐỀ XUẤT</w:t>
            </w:r>
          </w:p>
        </w:tc>
        <w:tc>
          <w:tcPr>
            <w:tcW w:w="1359" w:type="dxa"/>
            <w:vMerge w:val="restart"/>
            <w:shd w:val="clear" w:color="FFFFFF" w:fill="FFFFFF"/>
            <w:noWrap/>
            <w:vAlign w:val="center"/>
            <w:hideMark/>
          </w:tcPr>
          <w:p w:rsidR="0086504F" w:rsidRPr="00454AF0" w:rsidRDefault="0086504F" w:rsidP="00AF4E0A">
            <w:pPr>
              <w:spacing w:after="0" w:line="240" w:lineRule="auto"/>
              <w:jc w:val="center"/>
              <w:rPr>
                <w:rFonts w:eastAsia="Times New Roman" w:cs="Times New Roman"/>
                <w:b/>
                <w:bCs/>
                <w:color w:val="000000"/>
                <w:kern w:val="0"/>
                <w:sz w:val="24"/>
                <w:lang w:eastAsia="vi-VN"/>
              </w:rPr>
            </w:pPr>
            <w:r w:rsidRPr="00ED75D8">
              <w:rPr>
                <w:rFonts w:eastAsia="Times New Roman" w:cs="Times New Roman"/>
                <w:b/>
                <w:bCs/>
                <w:color w:val="000000"/>
                <w:kern w:val="0"/>
                <w:sz w:val="24"/>
                <w:lang w:val="vi-VN" w:eastAsia="vi-VN"/>
              </w:rPr>
              <w:t>Bộ, ngành chịu trách nhiệm xử lý</w:t>
            </w:r>
          </w:p>
        </w:tc>
        <w:tc>
          <w:tcPr>
            <w:tcW w:w="4131" w:type="dxa"/>
            <w:vMerge w:val="restart"/>
            <w:shd w:val="clear" w:color="FFFFFF" w:fill="FFFFFF"/>
            <w:vAlign w:val="center"/>
          </w:tcPr>
          <w:p w:rsidR="0086504F" w:rsidRPr="00591088" w:rsidRDefault="0086504F" w:rsidP="00AF4E0A">
            <w:pPr>
              <w:spacing w:after="0" w:line="240" w:lineRule="auto"/>
              <w:jc w:val="center"/>
              <w:rPr>
                <w:rFonts w:eastAsia="Times New Roman" w:cs="Times New Roman"/>
                <w:b/>
                <w:bCs/>
                <w:color w:val="000000"/>
                <w:kern w:val="0"/>
                <w:sz w:val="24"/>
                <w:lang w:eastAsia="vi-VN"/>
              </w:rPr>
            </w:pPr>
            <w:r>
              <w:rPr>
                <w:rFonts w:eastAsia="Times New Roman" w:cs="Times New Roman"/>
                <w:b/>
                <w:bCs/>
                <w:color w:val="000000"/>
                <w:kern w:val="0"/>
                <w:sz w:val="24"/>
                <w:lang w:eastAsia="vi-VN"/>
              </w:rPr>
              <w:t>Tóm tắt tình hình, kết quả xử lý</w:t>
            </w:r>
          </w:p>
        </w:tc>
      </w:tr>
      <w:tr w:rsidR="0086504F" w:rsidRPr="00332777" w:rsidTr="00AF4E0A">
        <w:trPr>
          <w:trHeight w:val="638"/>
          <w:tblHeader/>
        </w:trPr>
        <w:tc>
          <w:tcPr>
            <w:tcW w:w="630" w:type="dxa"/>
            <w:vMerge/>
            <w:shd w:val="clear" w:color="FFFFFF" w:fill="FFFFFF"/>
            <w:noWrap/>
            <w:vAlign w:val="center"/>
          </w:tcPr>
          <w:p w:rsidR="0086504F" w:rsidRPr="00332777" w:rsidRDefault="0086504F" w:rsidP="00AF4E0A">
            <w:pPr>
              <w:spacing w:after="0" w:line="240" w:lineRule="auto"/>
              <w:jc w:val="center"/>
              <w:rPr>
                <w:rFonts w:eastAsia="Times New Roman" w:cs="Times New Roman"/>
                <w:b/>
                <w:bCs/>
                <w:color w:val="000000"/>
                <w:kern w:val="0"/>
                <w:sz w:val="24"/>
                <w:lang w:eastAsia="vi-VN"/>
              </w:rPr>
            </w:pPr>
          </w:p>
        </w:tc>
        <w:tc>
          <w:tcPr>
            <w:tcW w:w="1800" w:type="dxa"/>
            <w:shd w:val="clear" w:color="FFFFFF" w:fill="FFFFFF"/>
            <w:vAlign w:val="center"/>
          </w:tcPr>
          <w:p w:rsidR="0086504F" w:rsidRPr="00B6529D" w:rsidRDefault="0086504F" w:rsidP="00AF4E0A">
            <w:pPr>
              <w:spacing w:after="0" w:line="240" w:lineRule="auto"/>
              <w:jc w:val="center"/>
              <w:rPr>
                <w:rFonts w:eastAsia="Times New Roman" w:cs="Times New Roman"/>
                <w:b/>
                <w:bCs/>
                <w:color w:val="000000"/>
                <w:spacing w:val="-8"/>
                <w:kern w:val="0"/>
                <w:sz w:val="24"/>
                <w:lang w:val="vi-VN" w:eastAsia="vi-VN"/>
              </w:rPr>
            </w:pPr>
            <w:r w:rsidRPr="00B6529D">
              <w:rPr>
                <w:rFonts w:eastAsia="Times New Roman" w:cs="Times New Roman"/>
                <w:b/>
                <w:bCs/>
                <w:color w:val="000000"/>
                <w:spacing w:val="-8"/>
                <w:kern w:val="0"/>
                <w:sz w:val="24"/>
                <w:lang w:eastAsia="vi-VN"/>
              </w:rPr>
              <w:t xml:space="preserve">Tên đơn vị phản ánh, kiến nghị </w:t>
            </w:r>
          </w:p>
        </w:tc>
        <w:tc>
          <w:tcPr>
            <w:tcW w:w="2070" w:type="dxa"/>
            <w:shd w:val="clear" w:color="FFFFFF" w:fill="FFFFFF"/>
            <w:vAlign w:val="center"/>
          </w:tcPr>
          <w:p w:rsidR="0086504F" w:rsidRPr="001C4774" w:rsidRDefault="0086504F" w:rsidP="00AF4E0A">
            <w:pPr>
              <w:spacing w:after="0" w:line="240" w:lineRule="auto"/>
              <w:jc w:val="center"/>
              <w:rPr>
                <w:rFonts w:eastAsia="Times New Roman" w:cs="Times New Roman"/>
                <w:b/>
                <w:bCs/>
                <w:color w:val="000000"/>
                <w:kern w:val="0"/>
                <w:sz w:val="24"/>
                <w:lang w:eastAsia="vi-VN"/>
              </w:rPr>
            </w:pPr>
            <w:r w:rsidRPr="00ED75D8">
              <w:rPr>
                <w:rFonts w:eastAsia="Times New Roman" w:cs="Times New Roman"/>
                <w:b/>
                <w:bCs/>
                <w:color w:val="000000"/>
                <w:kern w:val="0"/>
                <w:sz w:val="24"/>
                <w:lang w:val="vi-VN" w:eastAsia="vi-VN"/>
              </w:rPr>
              <w:t>Vấn đề</w:t>
            </w:r>
            <w:r>
              <w:rPr>
                <w:rFonts w:eastAsia="Times New Roman" w:cs="Times New Roman"/>
                <w:b/>
                <w:bCs/>
                <w:color w:val="000000"/>
                <w:kern w:val="0"/>
                <w:sz w:val="24"/>
                <w:lang w:eastAsia="vi-VN"/>
              </w:rPr>
              <w:t xml:space="preserve"> phản ánh</w:t>
            </w:r>
          </w:p>
        </w:tc>
        <w:tc>
          <w:tcPr>
            <w:tcW w:w="4950" w:type="dxa"/>
            <w:shd w:val="clear" w:color="FFFFFF" w:fill="FFFFFF"/>
            <w:noWrap/>
            <w:vAlign w:val="center"/>
          </w:tcPr>
          <w:p w:rsidR="0086504F" w:rsidRPr="00B6560A" w:rsidRDefault="0086504F" w:rsidP="00AF4E0A">
            <w:pPr>
              <w:spacing w:after="0" w:line="240" w:lineRule="auto"/>
              <w:jc w:val="center"/>
              <w:rPr>
                <w:rFonts w:eastAsia="Times New Roman" w:cs="Times New Roman"/>
                <w:b/>
                <w:bCs/>
                <w:color w:val="000000"/>
                <w:kern w:val="0"/>
                <w:sz w:val="24"/>
                <w:lang w:eastAsia="vi-VN"/>
              </w:rPr>
            </w:pPr>
            <w:r w:rsidRPr="00ED75D8">
              <w:rPr>
                <w:rFonts w:eastAsia="Times New Roman" w:cs="Times New Roman"/>
                <w:b/>
                <w:bCs/>
                <w:color w:val="000000"/>
                <w:kern w:val="0"/>
                <w:sz w:val="24"/>
                <w:lang w:val="vi-VN" w:eastAsia="vi-VN"/>
              </w:rPr>
              <w:t>Giải pháp/Kiến nghị đề xuất</w:t>
            </w:r>
          </w:p>
        </w:tc>
        <w:tc>
          <w:tcPr>
            <w:tcW w:w="1359" w:type="dxa"/>
            <w:vMerge/>
            <w:shd w:val="clear" w:color="FFFFFF" w:fill="FFFFFF"/>
            <w:noWrap/>
            <w:vAlign w:val="center"/>
          </w:tcPr>
          <w:p w:rsidR="0086504F" w:rsidRPr="00ED75D8" w:rsidRDefault="0086504F" w:rsidP="00AF4E0A">
            <w:pPr>
              <w:spacing w:after="0" w:line="240" w:lineRule="auto"/>
              <w:jc w:val="center"/>
              <w:rPr>
                <w:rFonts w:eastAsia="Times New Roman" w:cs="Times New Roman"/>
                <w:b/>
                <w:bCs/>
                <w:color w:val="000000"/>
                <w:kern w:val="0"/>
                <w:sz w:val="24"/>
                <w:lang w:val="vi-VN" w:eastAsia="vi-VN"/>
              </w:rPr>
            </w:pPr>
          </w:p>
        </w:tc>
        <w:tc>
          <w:tcPr>
            <w:tcW w:w="4131" w:type="dxa"/>
            <w:vMerge/>
            <w:shd w:val="clear" w:color="FFFFFF" w:fill="FFFFFF"/>
          </w:tcPr>
          <w:p w:rsidR="0086504F" w:rsidRPr="00ED75D8" w:rsidRDefault="0086504F" w:rsidP="00AF4E0A">
            <w:pPr>
              <w:spacing w:after="0" w:line="240" w:lineRule="auto"/>
              <w:jc w:val="center"/>
              <w:rPr>
                <w:rFonts w:eastAsia="Times New Roman" w:cs="Times New Roman"/>
                <w:b/>
                <w:bCs/>
                <w:color w:val="000000"/>
                <w:kern w:val="0"/>
                <w:sz w:val="24"/>
                <w:lang w:val="vi-VN" w:eastAsia="vi-VN"/>
              </w:rPr>
            </w:pPr>
          </w:p>
        </w:tc>
      </w:tr>
      <w:tr w:rsidR="0086504F" w:rsidRPr="00C94168" w:rsidTr="00AF4E0A">
        <w:trPr>
          <w:trHeight w:val="314"/>
          <w:tblHeader/>
        </w:trPr>
        <w:tc>
          <w:tcPr>
            <w:tcW w:w="630" w:type="dxa"/>
            <w:vMerge/>
          </w:tcPr>
          <w:p w:rsidR="0086504F" w:rsidRDefault="0086504F" w:rsidP="00AF4E0A">
            <w:pPr>
              <w:spacing w:after="0" w:line="240" w:lineRule="auto"/>
              <w:jc w:val="center"/>
              <w:rPr>
                <w:rFonts w:eastAsia="Times New Roman" w:cs="Times New Roman"/>
                <w:color w:val="000000"/>
                <w:kern w:val="0"/>
                <w:sz w:val="24"/>
                <w:lang w:eastAsia="vi-VN"/>
              </w:rPr>
            </w:pPr>
          </w:p>
        </w:tc>
        <w:tc>
          <w:tcPr>
            <w:tcW w:w="1800" w:type="dxa"/>
            <w:vAlign w:val="center"/>
          </w:tcPr>
          <w:p w:rsidR="0086504F" w:rsidRPr="00DD7F94" w:rsidRDefault="0086504F" w:rsidP="00AF4E0A">
            <w:pPr>
              <w:spacing w:after="0" w:line="240" w:lineRule="auto"/>
              <w:jc w:val="center"/>
              <w:rPr>
                <w:rFonts w:eastAsia="Times New Roman" w:cs="Times New Roman"/>
                <w:b/>
                <w:i/>
                <w:color w:val="000000"/>
                <w:kern w:val="0"/>
                <w:sz w:val="24"/>
                <w:lang w:eastAsia="vi-VN"/>
              </w:rPr>
            </w:pPr>
            <w:r w:rsidRPr="00DD7F94">
              <w:rPr>
                <w:rFonts w:eastAsia="Times New Roman" w:cs="Times New Roman"/>
                <w:b/>
                <w:i/>
                <w:color w:val="000000"/>
                <w:kern w:val="0"/>
                <w:sz w:val="24"/>
                <w:lang w:eastAsia="vi-VN"/>
              </w:rPr>
              <w:t>(1)</w:t>
            </w:r>
          </w:p>
        </w:tc>
        <w:tc>
          <w:tcPr>
            <w:tcW w:w="2070" w:type="dxa"/>
            <w:vAlign w:val="center"/>
          </w:tcPr>
          <w:p w:rsidR="0086504F" w:rsidRPr="00DD7F94" w:rsidRDefault="0086504F" w:rsidP="00AF4E0A">
            <w:pPr>
              <w:spacing w:after="0" w:line="240" w:lineRule="auto"/>
              <w:jc w:val="center"/>
              <w:rPr>
                <w:rFonts w:eastAsia="Times New Roman" w:cs="Times New Roman"/>
                <w:b/>
                <w:bCs/>
                <w:i/>
                <w:color w:val="000000"/>
                <w:kern w:val="0"/>
                <w:sz w:val="24"/>
                <w:lang w:eastAsia="vi-VN"/>
              </w:rPr>
            </w:pPr>
            <w:r w:rsidRPr="00DD7F94">
              <w:rPr>
                <w:rFonts w:eastAsia="Times New Roman" w:cs="Times New Roman"/>
                <w:b/>
                <w:bCs/>
                <w:i/>
                <w:color w:val="000000"/>
                <w:kern w:val="0"/>
                <w:sz w:val="24"/>
                <w:lang w:eastAsia="vi-VN"/>
              </w:rPr>
              <w:t>(2)</w:t>
            </w:r>
          </w:p>
        </w:tc>
        <w:tc>
          <w:tcPr>
            <w:tcW w:w="4950" w:type="dxa"/>
            <w:vAlign w:val="center"/>
          </w:tcPr>
          <w:p w:rsidR="0086504F" w:rsidRPr="00DD7F94" w:rsidRDefault="0086504F" w:rsidP="00AF4E0A">
            <w:pPr>
              <w:spacing w:after="0" w:line="240" w:lineRule="auto"/>
              <w:jc w:val="center"/>
              <w:rPr>
                <w:rFonts w:eastAsia="Times New Roman" w:cs="Times New Roman"/>
                <w:b/>
                <w:i/>
                <w:color w:val="000000"/>
                <w:kern w:val="0"/>
                <w:sz w:val="24"/>
                <w:lang w:eastAsia="vi-VN"/>
              </w:rPr>
            </w:pPr>
            <w:r w:rsidRPr="00DD7F94">
              <w:rPr>
                <w:rFonts w:eastAsia="Times New Roman" w:cs="Times New Roman"/>
                <w:b/>
                <w:i/>
                <w:color w:val="000000"/>
                <w:kern w:val="0"/>
                <w:sz w:val="24"/>
                <w:lang w:eastAsia="vi-VN"/>
              </w:rPr>
              <w:t>(3)</w:t>
            </w:r>
          </w:p>
        </w:tc>
        <w:tc>
          <w:tcPr>
            <w:tcW w:w="1359" w:type="dxa"/>
            <w:vAlign w:val="center"/>
          </w:tcPr>
          <w:p w:rsidR="0086504F" w:rsidRPr="00DD7F94" w:rsidRDefault="0086504F" w:rsidP="00AF4E0A">
            <w:pPr>
              <w:spacing w:after="0" w:line="240" w:lineRule="auto"/>
              <w:jc w:val="center"/>
              <w:rPr>
                <w:rFonts w:eastAsia="Times New Roman" w:cs="Times New Roman"/>
                <w:b/>
                <w:i/>
                <w:color w:val="000000"/>
                <w:kern w:val="0"/>
                <w:sz w:val="24"/>
                <w:lang w:eastAsia="vi-VN"/>
              </w:rPr>
            </w:pPr>
            <w:r w:rsidRPr="00DD7F94">
              <w:rPr>
                <w:rFonts w:eastAsia="Times New Roman" w:cs="Times New Roman"/>
                <w:b/>
                <w:i/>
                <w:color w:val="000000"/>
                <w:kern w:val="0"/>
                <w:sz w:val="24"/>
                <w:lang w:eastAsia="vi-VN"/>
              </w:rPr>
              <w:t>(4)</w:t>
            </w:r>
          </w:p>
        </w:tc>
        <w:tc>
          <w:tcPr>
            <w:tcW w:w="4131" w:type="dxa"/>
            <w:vAlign w:val="center"/>
          </w:tcPr>
          <w:p w:rsidR="0086504F" w:rsidRPr="00DD7F94" w:rsidRDefault="0086504F" w:rsidP="00AF4E0A">
            <w:pPr>
              <w:spacing w:after="0" w:line="240" w:lineRule="auto"/>
              <w:jc w:val="center"/>
              <w:rPr>
                <w:rFonts w:eastAsia="Times New Roman" w:cs="Times New Roman"/>
                <w:b/>
                <w:i/>
                <w:color w:val="000000"/>
                <w:kern w:val="0"/>
                <w:sz w:val="24"/>
                <w:lang w:eastAsia="vi-VN"/>
              </w:rPr>
            </w:pPr>
            <w:r w:rsidRPr="00DD7F94">
              <w:rPr>
                <w:rFonts w:eastAsia="Times New Roman" w:cs="Times New Roman"/>
                <w:b/>
                <w:i/>
                <w:color w:val="000000"/>
                <w:kern w:val="0"/>
                <w:sz w:val="24"/>
                <w:lang w:eastAsia="vi-VN"/>
              </w:rPr>
              <w:t>(5)</w:t>
            </w:r>
          </w:p>
        </w:tc>
      </w:tr>
      <w:tr w:rsidR="0086504F" w:rsidRPr="00C94168" w:rsidTr="00AF4E0A">
        <w:trPr>
          <w:trHeight w:val="309"/>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t>1</w:t>
            </w:r>
          </w:p>
        </w:tc>
        <w:tc>
          <w:tcPr>
            <w:tcW w:w="1800" w:type="dxa"/>
          </w:tcPr>
          <w:p w:rsidR="0086504F" w:rsidRPr="00B722C8" w:rsidRDefault="0086504F" w:rsidP="00AF4E0A">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eastAsia="vi-VN"/>
              </w:rPr>
              <w:t>D</w:t>
            </w:r>
            <w:r w:rsidRPr="00B722C8">
              <w:rPr>
                <w:rFonts w:eastAsia="Times New Roman" w:cs="Times New Roman"/>
                <w:color w:val="000000"/>
                <w:kern w:val="0"/>
                <w:sz w:val="24"/>
                <w:lang w:val="vi-VN" w:eastAsia="vi-VN"/>
              </w:rPr>
              <w:t>oanh nghiệp</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Tiêu chuẩn kỹ thuật hàm lượng oxy và Ethanol trong xăng sinh học chưa phù hợp</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Điều chỉnh hàm lượng oxy lên tối thiểu 5,0% khối lượng và quy định Ethanol theo hướng không lớn hơn 10% thể tích.</w:t>
            </w:r>
          </w:p>
        </w:tc>
        <w:tc>
          <w:tcPr>
            <w:tcW w:w="1359"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Bộ Khoa học và Công nghệ phối hợp Bộ Công Thương.</w:t>
            </w:r>
          </w:p>
        </w:tc>
        <w:tc>
          <w:tcPr>
            <w:tcW w:w="4131"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Nội dung phản ánh về tiêu chuẩn kỹ thuật đối với hàm lượng Ethanol và oxy trong xăng sinh học đã được Bộ Công Thương và Bộ Khoa học và Công nghệ tiếp thu, xử lý. Theo đó, Bộ Công Thương đã có văn bản đề nghị Bộ Khoa học và Công nghệ rà soát, sớm hoàn thiện quy chuẩn kỹ thuật quốc gia về xăng, nhiên liệu điêzen và nhiên liệu sinh học. Trên cơ sở chỉ đạo của Thủ tướng Chính phủ và kiến nghị của các doanh nghiệp trong lĩnh vực xăng dầu, </w:t>
            </w:r>
          </w:p>
          <w:p w:rsidR="0086504F" w:rsidRPr="005226AB" w:rsidRDefault="0086504F" w:rsidP="00AF4E0A">
            <w:pPr>
              <w:spacing w:after="0" w:line="240" w:lineRule="auto"/>
              <w:rPr>
                <w:rFonts w:eastAsia="Times New Roman" w:cs="Times New Roman"/>
                <w:color w:val="000000"/>
                <w:kern w:val="0"/>
                <w:sz w:val="24"/>
                <w:lang w:val="vi-VN" w:eastAsia="vi-VN"/>
              </w:rPr>
            </w:pPr>
          </w:p>
          <w:p w:rsidR="0086504F" w:rsidRPr="00B722C8" w:rsidRDefault="0086504F" w:rsidP="00AF4E0A">
            <w:pPr>
              <w:spacing w:after="0" w:line="240" w:lineRule="auto"/>
              <w:rPr>
                <w:rFonts w:eastAsia="Times New Roman" w:cs="Times New Roman"/>
                <w:color w:val="000000"/>
                <w:kern w:val="0"/>
                <w:sz w:val="24"/>
                <w:lang w:eastAsia="vi-VN"/>
              </w:rPr>
            </w:pPr>
            <w:r w:rsidRPr="00AB00FF">
              <w:rPr>
                <w:rFonts w:eastAsia="Times New Roman" w:cs="Times New Roman"/>
                <w:color w:val="000000"/>
                <w:kern w:val="0"/>
                <w:sz w:val="24"/>
                <w:lang w:eastAsia="vi-VN"/>
              </w:rPr>
              <w:t xml:space="preserve">Bộ Khoa học và Công nghệ đã ban hành </w:t>
            </w:r>
            <w:r w:rsidRPr="005226AB">
              <w:rPr>
                <w:rFonts w:eastAsia="Times New Roman" w:cs="Times New Roman"/>
                <w:b/>
                <w:color w:val="000000"/>
                <w:kern w:val="0"/>
                <w:sz w:val="24"/>
                <w:lang w:eastAsia="vi-VN"/>
              </w:rPr>
              <w:t>Thông tư số 19/2026/TT-BKHCN</w:t>
            </w:r>
            <w:r w:rsidRPr="00AB00FF">
              <w:rPr>
                <w:rFonts w:eastAsia="Times New Roman" w:cs="Times New Roman"/>
                <w:color w:val="000000"/>
                <w:kern w:val="0"/>
                <w:sz w:val="24"/>
                <w:lang w:eastAsia="vi-VN"/>
              </w:rPr>
              <w:t xml:space="preserve"> </w:t>
            </w:r>
            <w:r w:rsidRPr="005226AB">
              <w:rPr>
                <w:rFonts w:eastAsia="Times New Roman" w:cs="Times New Roman"/>
                <w:b/>
                <w:color w:val="000000"/>
                <w:kern w:val="0"/>
                <w:sz w:val="24"/>
                <w:lang w:eastAsia="vi-VN"/>
              </w:rPr>
              <w:t>sửa đổi QCVN 01:2022/BKHCN</w:t>
            </w:r>
            <w:r w:rsidRPr="00AB00FF">
              <w:rPr>
                <w:rFonts w:eastAsia="Times New Roman" w:cs="Times New Roman"/>
                <w:color w:val="000000"/>
                <w:kern w:val="0"/>
                <w:sz w:val="24"/>
                <w:lang w:eastAsia="vi-VN"/>
              </w:rPr>
              <w:t xml:space="preserve">, có hiệu lực từ ngày 30/4/2026. Theo nội dung sửa đổi, quy chuẩn đã điều chỉnh theo hướng mở rộng khoảng hàm lượng Ethanol trong xăng E10 từ 8,0% đến 10,0% theo thể tích, tạo điều kiện linh hoạt hơn cho hoạt động pha chế xăng </w:t>
            </w:r>
            <w:r w:rsidRPr="00AB00FF">
              <w:rPr>
                <w:rFonts w:eastAsia="Times New Roman" w:cs="Times New Roman"/>
                <w:color w:val="000000"/>
                <w:kern w:val="0"/>
                <w:sz w:val="24"/>
                <w:lang w:eastAsia="vi-VN"/>
              </w:rPr>
              <w:lastRenderedPageBreak/>
              <w:t>sinh học. Đồng thời, quy định về hàm lượng oxy cũng được điều chỉnh theo lộ trình, cho phép áp dụng mức tối đa 5,0% khối lượng trong giai đoạn từ ngày 30/4/2026 đến hết ngày 31/12/2026 và 4,0% khối lượng kể từ ngày 01/01/2027, qua đó góp phần tháo gỡ những khó khăn mà doanh nghiệp đã phản ánh trong quá trình sản xuất, nhập khẩu, pha chế và kinh doanh xăng sinh học.</w:t>
            </w:r>
          </w:p>
        </w:tc>
      </w:tr>
      <w:tr w:rsidR="0086504F" w:rsidRPr="00C94168" w:rsidTr="00AF4E0A">
        <w:trPr>
          <w:trHeight w:val="309"/>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2</w:t>
            </w:r>
          </w:p>
        </w:tc>
        <w:tc>
          <w:tcPr>
            <w:tcW w:w="1800" w:type="dxa"/>
          </w:tcPr>
          <w:p w:rsidR="0086504F" w:rsidRDefault="0086504F" w:rsidP="00AF4E0A">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D</w:t>
            </w:r>
            <w:r w:rsidRPr="00B722C8">
              <w:rPr>
                <w:rFonts w:eastAsia="Times New Roman" w:cs="Times New Roman"/>
                <w:color w:val="000000"/>
                <w:kern w:val="0"/>
                <w:sz w:val="24"/>
                <w:lang w:val="vi-VN" w:eastAsia="vi-VN"/>
              </w:rPr>
              <w:t>oanh nghiệp</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Quản lý hóa chất chồng chéo và thời hạn cấp phép không khả thi</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Thống nhất một đầu mối cấp phép cho tất cả nhóm hóa chất; bãi bỏ ngưỡng miễn trừ mâu thuẫn; cho phép nộp hồ sơ dựa trên hợp đồng mua bán khi chưa có hóa đơn; chuẩn hóa danh mục theo mã CAS; rút ngắn thời gian xử lý và loại trừ xuất nhập khẩu tại chỗ.</w:t>
            </w:r>
          </w:p>
        </w:tc>
        <w:tc>
          <w:tcPr>
            <w:tcW w:w="1359" w:type="dxa"/>
          </w:tcPr>
          <w:p w:rsidR="0086504F" w:rsidRPr="00B722C8" w:rsidRDefault="0086504F" w:rsidP="00AF4E0A">
            <w:pPr>
              <w:spacing w:after="0" w:line="240" w:lineRule="auto"/>
              <w:rPr>
                <w:rFonts w:eastAsia="Times New Roman" w:cs="Times New Roman"/>
                <w:color w:val="000000"/>
                <w:kern w:val="0"/>
                <w:sz w:val="24"/>
                <w:lang w:eastAsia="vi-VN"/>
              </w:rPr>
            </w:pPr>
            <w:r w:rsidRPr="00B722C8">
              <w:rPr>
                <w:rFonts w:eastAsia="Times New Roman" w:cs="Times New Roman"/>
                <w:color w:val="000000"/>
                <w:kern w:val="0"/>
                <w:sz w:val="24"/>
                <w:lang w:eastAsia="vi-VN"/>
              </w:rPr>
              <w:t xml:space="preserve">Bộ Công Thương </w:t>
            </w:r>
          </w:p>
        </w:tc>
        <w:tc>
          <w:tcPr>
            <w:tcW w:w="4131" w:type="dxa"/>
          </w:tcPr>
          <w:p w:rsidR="0086504F" w:rsidRPr="00B722C8" w:rsidRDefault="0086504F" w:rsidP="00AF4E0A">
            <w:pPr>
              <w:spacing w:after="0" w:line="240" w:lineRule="auto"/>
              <w:rPr>
                <w:rFonts w:eastAsia="Times New Roman" w:cs="Times New Roman"/>
                <w:color w:val="000000"/>
                <w:kern w:val="0"/>
                <w:sz w:val="24"/>
                <w:lang w:eastAsia="vi-VN"/>
              </w:rPr>
            </w:pPr>
            <w:r w:rsidRPr="00AB00FF">
              <w:rPr>
                <w:rFonts w:eastAsia="Times New Roman" w:cs="Times New Roman"/>
                <w:color w:val="000000"/>
                <w:kern w:val="0"/>
                <w:sz w:val="24"/>
                <w:lang w:eastAsia="vi-VN"/>
              </w:rPr>
              <w:t xml:space="preserve">Nội dung kiến nghị về quản lý hóa chất đã cơ bản được xử lý thông qua việc ban hành các quy định mới tại </w:t>
            </w:r>
            <w:r w:rsidRPr="005226AB">
              <w:rPr>
                <w:rFonts w:eastAsia="Times New Roman" w:cs="Times New Roman"/>
                <w:b/>
                <w:color w:val="000000"/>
                <w:kern w:val="0"/>
                <w:sz w:val="24"/>
                <w:lang w:eastAsia="vi-VN"/>
              </w:rPr>
              <w:t>Nghị quyết số 19/2026/NQ-CP</w:t>
            </w:r>
            <w:r w:rsidRPr="00AB00FF">
              <w:rPr>
                <w:rFonts w:eastAsia="Times New Roman" w:cs="Times New Roman"/>
                <w:color w:val="000000"/>
                <w:kern w:val="0"/>
                <w:sz w:val="24"/>
                <w:lang w:eastAsia="vi-VN"/>
              </w:rPr>
              <w:t xml:space="preserve"> và các văn bản hướng dẫn thi hành. Theo đó, nội dung về ngưỡng miễn trừ trong quản lý hóa chất đã được rà soát, thống nhất; thẩm quyền cấp Giấy phép vận chuyển hàng hóa nguy hiểm đã được phân cấp cho Ủy ban nhân dân cấp tỉnh, qua đó thống nhất đầu mối thực hiện theo quy định hiện hành. Đồng thời, thời hạn cấp Giấy phép xuất khẩu, nhập khẩu hóa chất cần kiểm soát đặc biệt đã được rút ngắn xuống còn 05 ngày làm việc; hoạt động xuất khẩu, nhập khẩu tại chỗ và mua bán hóa chất giữa doanh nghiệp trong khu hải quan riêng với doanh nghiệp nội </w:t>
            </w:r>
            <w:r w:rsidRPr="00AB00FF">
              <w:rPr>
                <w:rFonts w:eastAsia="Times New Roman" w:cs="Times New Roman"/>
                <w:color w:val="000000"/>
                <w:kern w:val="0"/>
                <w:sz w:val="24"/>
                <w:lang w:eastAsia="vi-VN"/>
              </w:rPr>
              <w:lastRenderedPageBreak/>
              <w:t xml:space="preserve">địa cũng đã được miễn trừ yêu cầu cấp Giấy phép theo quy định mới, góp phần tháo gỡ khó khăn cho doanh nghiệp. </w:t>
            </w:r>
            <w:r>
              <w:rPr>
                <w:rFonts w:eastAsia="Times New Roman" w:cs="Times New Roman"/>
                <w:color w:val="000000"/>
                <w:kern w:val="0"/>
                <w:sz w:val="24"/>
                <w:lang w:eastAsia="vi-VN"/>
              </w:rPr>
              <w:t>Đờng thời</w:t>
            </w:r>
            <w:r w:rsidRPr="00AB00FF">
              <w:rPr>
                <w:rFonts w:eastAsia="Times New Roman" w:cs="Times New Roman"/>
                <w:color w:val="000000"/>
                <w:kern w:val="0"/>
                <w:sz w:val="24"/>
                <w:lang w:eastAsia="vi-VN"/>
              </w:rPr>
              <w:t>, Bộ Công Thương cho biết việc cấp Giấy phép nhập khẩu hóa chất cần kiểm soát đặc biệt trên cơ sở hợp đồng mua bán khi chưa có hóa đơn hiện chưa có cơ sở pháp lý do Luật Hóa chất năm 2025 quy định giấy phép được cấp theo từng hóa đơn nhập khẩu. Bên cạnh đó, kiến nghị về chuẩn hóa danh mục hóa chất theo hệ thống mã số CAS quốc tế đã được Bộ ghi nhận, tiếp thu và sẽ tiếp tục nghiên cứu, tổng hợp trong quá trình rà soát, hoàn thiện cơ sở dữ liệu chuyên ngành hóa chất, Danh mục hóa chất quốc gia và sửa đổi, bổ sung các quy định pháp luật có liên quan.</w:t>
            </w:r>
          </w:p>
        </w:tc>
      </w:tr>
      <w:tr w:rsidR="0086504F" w:rsidRPr="00C94168" w:rsidTr="00AF4E0A">
        <w:trPr>
          <w:trHeight w:val="309"/>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3</w:t>
            </w:r>
          </w:p>
        </w:tc>
        <w:tc>
          <w:tcPr>
            <w:tcW w:w="1800" w:type="dxa"/>
          </w:tcPr>
          <w:p w:rsidR="0086504F" w:rsidRDefault="0086504F" w:rsidP="00AF4E0A">
            <w:pPr>
              <w:spacing w:after="0" w:line="240" w:lineRule="auto"/>
              <w:rPr>
                <w:rFonts w:eastAsia="Times New Roman" w:cs="Times New Roman"/>
                <w:color w:val="000000"/>
                <w:kern w:val="0"/>
                <w:sz w:val="24"/>
                <w:lang w:eastAsia="vi-VN"/>
              </w:rPr>
            </w:pPr>
            <w:r w:rsidRPr="00B722C8">
              <w:rPr>
                <w:rFonts w:eastAsia="Times New Roman" w:cs="Times New Roman"/>
                <w:color w:val="000000"/>
                <w:kern w:val="0"/>
                <w:sz w:val="24"/>
                <w:lang w:eastAsia="vi-VN"/>
              </w:rPr>
              <w:t>Nhiều hiệp hội và doanh nghiệp (VBF, BritCham, AusCham, AmCham và doanh nghiệp ngành thực phẩm)</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Duy trì tiền kiểm, phân loại rủi ro chưa hợp lý và đình trệ cấp phép trong an toàn thực phẩm</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 xml:space="preserve">1) Chuyển mạnh sang quản lý dựa trên rủi ro (risk-based); chỉ áp dụng tiền kiểm với nhóm nguy cơ cao, mở rộng hậu kiểm với thực phẩm bao gói sẵn sản xuất tại cơ sở đạt chuẩn; bãi bỏ các quy định nặng về tiền kiểm trong Nghị định 46 và Nghị quyết 66.13 khi ban hành văn bản thay thế. </w:t>
            </w:r>
          </w:p>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 xml:space="preserve"> 2) Rà soát tiêu chí phân loại theo bản chất sản phẩm, mức độ phơi nhiễm, đối tượng sử dụng và khả năng kiểm soát; công nhận các hệ thống </w:t>
            </w:r>
            <w:r w:rsidRPr="00B722C8">
              <w:rPr>
                <w:rFonts w:eastAsia="Times New Roman" w:cs="Times New Roman"/>
                <w:color w:val="000000"/>
                <w:kern w:val="0"/>
                <w:sz w:val="24"/>
                <w:lang w:val="vi-VN" w:eastAsia="vi-VN"/>
              </w:rPr>
              <w:lastRenderedPageBreak/>
              <w:t xml:space="preserve">quản lý quốc tế đã chứng nhận (FSSC 22000, HACCP, ISO 22000); tham vấn rộng rãi doanh nghiệp và chuyên gia. </w:t>
            </w:r>
          </w:p>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 xml:space="preserve"> 3) Giao tổ chức độc lập đủ năng lực đánh giá, cấp chứng nhận GMP; ban hành ngay văn bản xác định cơ quan cấp phép chất chuẩn; chỉ đạo địa phương không đặt thêm yêu cầu ngoài quy định (ISO 17025 từng chỉ tiêu, giấy công bố tỉnh cũ); xem xét trách nhiệm người đứng đầu nếu cố tình kéo dài.</w:t>
            </w:r>
          </w:p>
        </w:tc>
        <w:tc>
          <w:tcPr>
            <w:tcW w:w="1359"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lastRenderedPageBreak/>
              <w:t xml:space="preserve">Bộ Y tế chủ trì; phối hợp Bộ Khoa học và Công nghệ, Bộ Nông nghiệp và Môi trường, Bộ </w:t>
            </w:r>
            <w:r w:rsidRPr="005226AB">
              <w:rPr>
                <w:rFonts w:eastAsia="Times New Roman" w:cs="Times New Roman"/>
                <w:color w:val="000000"/>
                <w:kern w:val="0"/>
                <w:sz w:val="24"/>
                <w:lang w:val="vi-VN" w:eastAsia="vi-VN"/>
              </w:rPr>
              <w:lastRenderedPageBreak/>
              <w:t>Công Thương, Bộ Công an, Bộ Nội vụ</w:t>
            </w:r>
          </w:p>
        </w:tc>
        <w:tc>
          <w:tcPr>
            <w:tcW w:w="4131" w:type="dxa"/>
          </w:tcPr>
          <w:p w:rsidR="0086504F" w:rsidRDefault="0086504F" w:rsidP="00AF4E0A">
            <w:pPr>
              <w:spacing w:after="0" w:line="240" w:lineRule="auto"/>
              <w:rPr>
                <w:rFonts w:eastAsia="Times New Roman" w:cs="Times New Roman"/>
                <w:color w:val="000000"/>
                <w:kern w:val="0"/>
                <w:sz w:val="24"/>
                <w:lang w:eastAsia="vi-VN"/>
              </w:rPr>
            </w:pPr>
            <w:r w:rsidRPr="00C92FA7">
              <w:rPr>
                <w:rFonts w:eastAsia="Times New Roman" w:cs="Times New Roman"/>
                <w:color w:val="000000"/>
                <w:kern w:val="0"/>
                <w:sz w:val="24"/>
                <w:lang w:eastAsia="vi-VN"/>
              </w:rPr>
              <w:lastRenderedPageBreak/>
              <w:t xml:space="preserve">Nội dung kiến nghị đã được các Bộ, ngành tiếp thu và đang được thể chế hóa trong quá trình sửa đổi, hoàn thiện pháp luật về an toàn thực phẩm. Theo đó, Bộ Y tế đang xây dựng Hồ sơ chính sách Luật An toàn thực phẩm (sửa đổi), trong đó định hướng đổi mới phương thức quản lý theo nguyên tắc đánh giá rủi ro, phân loại thực phẩm theo mức độ nguy cơ để áp dụng biện pháp quản lý phù </w:t>
            </w:r>
            <w:r w:rsidRPr="00C92FA7">
              <w:rPr>
                <w:rFonts w:eastAsia="Times New Roman" w:cs="Times New Roman"/>
                <w:color w:val="000000"/>
                <w:kern w:val="0"/>
                <w:sz w:val="24"/>
                <w:lang w:eastAsia="vi-VN"/>
              </w:rPr>
              <w:lastRenderedPageBreak/>
              <w:t xml:space="preserve">hợp, giảm tiền kiểm đối với nhóm sản phẩm có nguy cơ thấp và tăng cường hậu kiểm. Đồng thời, dự thảo Luật cũng nghiên cứu cơ chế công nhận, thừa nhận các hệ thống quản lý an toàn thực phẩm tiên tiến (GMP, HACCP, ISO 22000, FSSC 22000 và tương đương), tạo điều kiện thuận lợi hơn đối với các cơ sở sản xuất đáp ứng tiêu chuẩn quốc tế. </w:t>
            </w:r>
          </w:p>
          <w:p w:rsidR="0086504F" w:rsidRDefault="0086504F" w:rsidP="00AF4E0A">
            <w:pPr>
              <w:spacing w:after="0" w:line="240" w:lineRule="auto"/>
              <w:rPr>
                <w:rFonts w:eastAsia="Times New Roman" w:cs="Times New Roman"/>
                <w:color w:val="000000"/>
                <w:kern w:val="0"/>
                <w:sz w:val="24"/>
                <w:lang w:eastAsia="vi-VN"/>
              </w:rPr>
            </w:pPr>
            <w:r w:rsidRPr="00C92FA7">
              <w:rPr>
                <w:rFonts w:eastAsia="Times New Roman" w:cs="Times New Roman"/>
                <w:color w:val="000000"/>
                <w:kern w:val="0"/>
                <w:sz w:val="24"/>
                <w:lang w:eastAsia="vi-VN"/>
              </w:rPr>
              <w:t xml:space="preserve">Bên cạnh đó, Bộ Y tế đã ban hành </w:t>
            </w:r>
            <w:r w:rsidRPr="005226AB">
              <w:rPr>
                <w:rFonts w:eastAsia="Times New Roman" w:cs="Times New Roman"/>
                <w:b/>
                <w:color w:val="000000"/>
                <w:kern w:val="0"/>
                <w:sz w:val="24"/>
                <w:lang w:eastAsia="vi-VN"/>
              </w:rPr>
              <w:t>Thông tư số 27/2026/TT-BYT</w:t>
            </w:r>
            <w:r w:rsidRPr="00C92FA7">
              <w:rPr>
                <w:rFonts w:eastAsia="Times New Roman" w:cs="Times New Roman"/>
                <w:color w:val="000000"/>
                <w:kern w:val="0"/>
                <w:sz w:val="24"/>
                <w:lang w:eastAsia="vi-VN"/>
              </w:rPr>
              <w:t xml:space="preserve"> quy định danh mục thực phẩm có mức độ rủi ro trung bình thuộc phạm vi quản lý của Bộ; đồng thời ban hành quy trình nội bộ và danh mục kiểm tra (Checklist GMP) nhằm thống nhất việc đánh giá, cấp và cấp lại Giấy chứng nhận GMP đối với thực phẩm bảo vệ sức khỏe. Bộ cũng đã bổ sung nhân lực, từng bước triển khai trở lại công tác tái thẩm định GMP để xử lý các hồ sơ tồn đọng. </w:t>
            </w:r>
          </w:p>
          <w:p w:rsidR="0086504F" w:rsidRPr="00B722C8" w:rsidRDefault="0086504F" w:rsidP="00AF4E0A">
            <w:pPr>
              <w:spacing w:after="0" w:line="240" w:lineRule="auto"/>
              <w:rPr>
                <w:rFonts w:eastAsia="Times New Roman" w:cs="Times New Roman"/>
                <w:color w:val="000000"/>
                <w:kern w:val="0"/>
                <w:sz w:val="24"/>
                <w:lang w:eastAsia="vi-VN"/>
              </w:rPr>
            </w:pPr>
            <w:r w:rsidRPr="00C92FA7">
              <w:rPr>
                <w:rFonts w:eastAsia="Times New Roman" w:cs="Times New Roman"/>
                <w:color w:val="000000"/>
                <w:kern w:val="0"/>
                <w:sz w:val="24"/>
                <w:lang w:eastAsia="vi-VN"/>
              </w:rPr>
              <w:t xml:space="preserve">Bộ Công Thương và Bộ Khoa học và Công nghệ cũng thống nhất với định hướng chuyển mạnh sang phương thức quản lý dựa trên rủi ro, đồng thời tiếp tục phối hợp với Bộ Y tế trong quá trình hoàn thiện Luật An toàn thực phẩm (sửa đổi) và các văn bản hướng dẫn thi hành, </w:t>
            </w:r>
            <w:r w:rsidRPr="00C92FA7">
              <w:rPr>
                <w:rFonts w:eastAsia="Times New Roman" w:cs="Times New Roman"/>
                <w:color w:val="000000"/>
                <w:kern w:val="0"/>
                <w:sz w:val="24"/>
                <w:lang w:eastAsia="vi-VN"/>
              </w:rPr>
              <w:lastRenderedPageBreak/>
              <w:t>bảo đảm vừa cắt giảm các thủ tục tiền kiểm không cần thiết, vừa duy trì hiệu quả quản lý đối với các nhóm thực phẩm có nguy cơ cao.</w:t>
            </w:r>
          </w:p>
        </w:tc>
      </w:tr>
      <w:tr w:rsidR="0086504F" w:rsidRPr="005226AB" w:rsidTr="00AF4E0A">
        <w:trPr>
          <w:trHeight w:val="309"/>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4</w:t>
            </w:r>
          </w:p>
        </w:tc>
        <w:tc>
          <w:tcPr>
            <w:tcW w:w="180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Hiệp hội Doanh nghiệp Thương mại và Công nghiệp Nhật Bản tại Việt Nam (JCCI) và EuroCham</w:t>
            </w:r>
          </w:p>
        </w:tc>
        <w:tc>
          <w:tcPr>
            <w:tcW w:w="2070" w:type="dxa"/>
          </w:tcPr>
          <w:p w:rsidR="0086504F" w:rsidRPr="005226AB"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Chuyển đổi số có nơi chưa thực chất, vẫn còn tình trạng nộp hồ sơ song song. Khó khăn trong sử dụng tài khoản định danh điện tử VneID</w:t>
            </w:r>
            <w:r w:rsidRPr="005226AB">
              <w:rPr>
                <w:rFonts w:eastAsia="Times New Roman" w:cs="Times New Roman"/>
                <w:bCs/>
                <w:color w:val="000000"/>
                <w:kern w:val="0"/>
                <w:sz w:val="24"/>
                <w:lang w:val="vi-VN" w:eastAsia="vi-VN"/>
              </w:rPr>
              <w:t>.</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Bãi bỏ yêu cầu nộp bản giấy khi đã có hồ sơ trực tuyến hợp lệ; thống nhất một cổng thông tin điện tử quốc gia; thống nhất yêu cầu sao y, chứng thực điện tử; bảo đảm hạ tầng hoạt động ổn định trước khi triển khai bắt buộc.</w:t>
            </w:r>
          </w:p>
        </w:tc>
        <w:tc>
          <w:tcPr>
            <w:tcW w:w="1359"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Bộ Tài chính, Bộ Khoa học và Công nghệ,  Bộ Công an </w:t>
            </w:r>
          </w:p>
        </w:tc>
        <w:tc>
          <w:tcPr>
            <w:tcW w:w="4131" w:type="dxa"/>
          </w:tcPr>
          <w:p w:rsidR="0086504F" w:rsidRPr="005226AB" w:rsidRDefault="0086504F" w:rsidP="00AF4E0A">
            <w:pPr>
              <w:pStyle w:val="pdq2pgselectionanchorcontainer"/>
              <w:jc w:val="both"/>
              <w:rPr>
                <w:lang w:val="vi-VN"/>
              </w:rPr>
            </w:pPr>
            <w:r w:rsidRPr="005226AB">
              <w:rPr>
                <w:lang w:val="vi-VN"/>
              </w:rPr>
              <w:t>Theo ý kiến của Bộ Tài chính, các quy định hiện hành về đăng ký doanh nghiệp đã quy định hồ sơ điện tử có giá trị pháp lý tương đương hồ sơ giấy và không đặt ra yêu cầu doanh nghiệp phải nộp đồng thời hồ sơ giấy để đối chiếu đối với hồ sơ đã nộp trực tuyến. Đồng thời, các quy định cũng đã cho phép sử dụng văn bản điện tử, chữ ký số và dữ liệu được kết nối từ Cơ sở dữ liệu quốc gia về dân cư nhằm giảm thành phần hồ sơ, đơn giản hóa thủ tục hành chính. Bộ cũng cho biết, trường hợp cơ quan tiếp nhận yêu cầu doanh nghiệp bổ sung các giấy tờ ngoài quy định thì doanh nghiệp có thể thực hiện phản ánh, khiếu nại theo quy định của pháp luật để được xem xét, xử lý.</w:t>
            </w:r>
          </w:p>
          <w:p w:rsidR="0086504F" w:rsidRPr="005226AB" w:rsidRDefault="0086504F" w:rsidP="00AF4E0A">
            <w:pPr>
              <w:pStyle w:val="NormalWeb"/>
              <w:jc w:val="both"/>
              <w:rPr>
                <w:lang w:val="vi-VN"/>
              </w:rPr>
            </w:pPr>
            <w:r w:rsidRPr="005226AB">
              <w:rPr>
                <w:lang w:val="vi-VN"/>
              </w:rPr>
              <w:t xml:space="preserve">Đối với phản ánh về tình trạng quá tải, lỗi kỹ thuật của các hệ thống điện tử, Bộ Tài chính cho biết đã triển khai nhiều giải pháp về hạ tầng kỹ thuật, tối ưu hiệu năng, điều tiết lưu lượng truy cập </w:t>
            </w:r>
            <w:r w:rsidRPr="005226AB">
              <w:rPr>
                <w:lang w:val="vi-VN"/>
              </w:rPr>
              <w:lastRenderedPageBreak/>
              <w:t>và tăng cường giám sát vận hành nhằm từng bước khắc phục tình trạng nghẽn hệ thống. Theo Bộ, đến nay hệ thống đã cơ bản hoạt động ổn định; đồng thời cũng đã làm rõ phạm vi chức năng của ứng dụng eTax Mobile, theo đó ứng dụng được thiết kế phục vụ cá nhân, hộ kinh doanh và người đại diện theo pháp luật, chưa hỗ trợ tổ chức thực hiện quyết toán thuế thu nhập cá nhân thay cho người lao động.</w:t>
            </w:r>
          </w:p>
          <w:p w:rsidR="0086504F" w:rsidRPr="005226AB" w:rsidRDefault="0086504F" w:rsidP="00AF4E0A">
            <w:pPr>
              <w:pStyle w:val="NormalWeb"/>
              <w:jc w:val="both"/>
              <w:rPr>
                <w:lang w:val="vi-VN"/>
              </w:rPr>
            </w:pPr>
            <w:r w:rsidRPr="005226AB">
              <w:rPr>
                <w:lang w:val="vi-VN"/>
              </w:rPr>
              <w:t>Về phía Bộ Khoa học và Công nghệ, Bộ đã đề nghị các bộ, ngành và địa phương tiếp tục quán triệt việc thực hiện đúng quy định về tiếp nhận, giải quyết thủ tục hành chính trên môi trường điện tử, hạn chế tình trạng yêu cầu bổ sung hồ sơ ngoài quy định, đồng thời khẩn trương hoàn thiện các hệ thống thông tin giải quyết thủ tục hành chính, nâng cao tính ổn định của các nền tảng số và tăng cường xử lý các phản ánh, kiến nghị của người dân, doanh nghiệp.</w:t>
            </w:r>
          </w:p>
        </w:tc>
      </w:tr>
      <w:tr w:rsidR="0086504F" w:rsidRPr="005226AB" w:rsidTr="00AF4E0A">
        <w:trPr>
          <w:trHeight w:val="1520"/>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5</w:t>
            </w:r>
          </w:p>
        </w:tc>
        <w:tc>
          <w:tcPr>
            <w:tcW w:w="1800" w:type="dxa"/>
          </w:tcPr>
          <w:p w:rsidR="0086504F" w:rsidRDefault="0086504F" w:rsidP="00AF4E0A">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N</w:t>
            </w:r>
            <w:r w:rsidRPr="00B722C8">
              <w:rPr>
                <w:rFonts w:eastAsia="Times New Roman" w:cs="Times New Roman"/>
                <w:color w:val="000000"/>
                <w:kern w:val="0"/>
                <w:sz w:val="24"/>
                <w:lang w:eastAsia="vi-VN"/>
              </w:rPr>
              <w:t>hà đầu tư</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Vòng lặp, chồng chéo trong thủ tục đầu tư, quy hoạch, đất đai</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Áp dụng nguyên tắc quy hoạch động; quy định rõ thời hạn lấy ý kiến từ mười lăm đến ba mươi ngày với nguyên tắc quá hạn không trả lời coi là đồng ý; cơ quan chủ trì chỉ được yêu cầu bổ sung hồ sơ tối đa một lần; ban hành hướng dẫn thống nhất, ràng buộc về thủ tục FDI và tiêu chí "luồng xanh".</w:t>
            </w:r>
          </w:p>
        </w:tc>
        <w:tc>
          <w:tcPr>
            <w:tcW w:w="1359"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Bộ Tài chính, Bộ Xây dựng và Bộ Nông nghiệp và Môi trường.</w:t>
            </w:r>
          </w:p>
        </w:tc>
        <w:tc>
          <w:tcPr>
            <w:tcW w:w="4131"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Nội dung kiến nghị đã cơ bản được xử lý thông qua việc ban hành </w:t>
            </w:r>
            <w:r w:rsidRPr="005226AB">
              <w:rPr>
                <w:rFonts w:eastAsia="Times New Roman" w:cs="Times New Roman"/>
                <w:b/>
                <w:color w:val="000000"/>
                <w:kern w:val="0"/>
                <w:sz w:val="24"/>
                <w:lang w:val="vi-VN" w:eastAsia="vi-VN"/>
              </w:rPr>
              <w:t>Luật Quy hoạch năm 2025</w:t>
            </w:r>
            <w:r w:rsidRPr="005226AB">
              <w:rPr>
                <w:rFonts w:eastAsia="Times New Roman" w:cs="Times New Roman"/>
                <w:color w:val="000000"/>
                <w:kern w:val="0"/>
                <w:sz w:val="24"/>
                <w:lang w:val="vi-VN" w:eastAsia="vi-VN"/>
              </w:rPr>
              <w:t xml:space="preserve"> và các văn bản hướng dẫn thi hành. Theo đó, nhiều nội dung doanh nghiệp phản ánh về sự chồng chéo trong quá trình đánh giá sự phù hợp của dự án với quy hoạch đã được thể chế hóa theo hướng xác định rõ mối quan hệ giữa các loại quy hoạch, thống nhất căn cứ đánh giá dự án, bổ sung cơ chế điều chỉnh quy hoạch theo trình tự rút gọn và bãi bỏ quy định về danh mục dự án trong quy hoạch nhằm tăng tính linh hoạt trong triển khai thực hiện. Đối với kiến nghị về cơ chế phê duyệt song song hoặc lồng ghép các thủ tục quy hoạch, Bộ Xây dựng cho biết do quy hoạch đô thị và quy hoạch nông thôn hiện thuộc thẩm quyền của các cơ quan khác nhau và được thực hiện theo trình tự, thủ tục riêng nên chưa có cơ sở để thực hiện theo cơ chế như kiến nghị; Bộ sẽ tiếp tục phối hợp với các bộ, ngành liên quan để nghiên cứu, báo cáo cấp có thẩm quyền xem xét trong quá trình hoàn thiện pháp luật.</w:t>
            </w:r>
          </w:p>
        </w:tc>
      </w:tr>
      <w:tr w:rsidR="0086504F" w:rsidRPr="005226AB" w:rsidTr="00AF4E0A">
        <w:trPr>
          <w:trHeight w:val="350"/>
        </w:trPr>
        <w:tc>
          <w:tcPr>
            <w:tcW w:w="630" w:type="dxa"/>
          </w:tcPr>
          <w:p w:rsidR="0086504F" w:rsidRPr="005226AB" w:rsidRDefault="0086504F" w:rsidP="00AF4E0A">
            <w:pPr>
              <w:spacing w:after="0" w:line="240" w:lineRule="auto"/>
              <w:jc w:val="center"/>
              <w:rPr>
                <w:rFonts w:eastAsia="Times New Roman" w:cs="Times New Roman"/>
                <w:color w:val="000000"/>
                <w:kern w:val="0"/>
                <w:sz w:val="24"/>
                <w:lang w:val="vi-VN" w:eastAsia="vi-VN"/>
              </w:rPr>
            </w:pPr>
          </w:p>
        </w:tc>
        <w:tc>
          <w:tcPr>
            <w:tcW w:w="1800" w:type="dxa"/>
          </w:tcPr>
          <w:p w:rsidR="0086504F" w:rsidRPr="005226AB" w:rsidRDefault="0086504F" w:rsidP="00AF4E0A">
            <w:pPr>
              <w:spacing w:after="0" w:line="240" w:lineRule="auto"/>
              <w:rPr>
                <w:rFonts w:eastAsia="Times New Roman" w:cs="Times New Roman"/>
                <w:color w:val="000000"/>
                <w:kern w:val="0"/>
                <w:sz w:val="24"/>
                <w:lang w:val="vi-VN" w:eastAsia="vi-VN"/>
              </w:rPr>
            </w:pP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p>
        </w:tc>
        <w:tc>
          <w:tcPr>
            <w:tcW w:w="1359" w:type="dxa"/>
          </w:tcPr>
          <w:p w:rsidR="0086504F" w:rsidRPr="005226AB" w:rsidRDefault="0086504F" w:rsidP="00AF4E0A">
            <w:pPr>
              <w:spacing w:after="0" w:line="240" w:lineRule="auto"/>
              <w:rPr>
                <w:rFonts w:eastAsia="Times New Roman" w:cs="Times New Roman"/>
                <w:color w:val="000000"/>
                <w:kern w:val="0"/>
                <w:sz w:val="24"/>
                <w:lang w:val="vi-VN" w:eastAsia="vi-VN"/>
              </w:rPr>
            </w:pPr>
          </w:p>
        </w:tc>
        <w:tc>
          <w:tcPr>
            <w:tcW w:w="4131" w:type="dxa"/>
          </w:tcPr>
          <w:p w:rsidR="0086504F" w:rsidRPr="005226AB" w:rsidRDefault="0086504F" w:rsidP="00AF4E0A">
            <w:pPr>
              <w:spacing w:after="0" w:line="240" w:lineRule="auto"/>
              <w:rPr>
                <w:rFonts w:eastAsia="Times New Roman" w:cs="Times New Roman"/>
                <w:color w:val="000000"/>
                <w:kern w:val="0"/>
                <w:sz w:val="24"/>
                <w:lang w:val="vi-VN" w:eastAsia="vi-VN"/>
              </w:rPr>
            </w:pPr>
          </w:p>
        </w:tc>
      </w:tr>
      <w:tr w:rsidR="0086504F" w:rsidRPr="00C94168" w:rsidTr="00AF4E0A">
        <w:trPr>
          <w:trHeight w:val="350"/>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6</w:t>
            </w:r>
          </w:p>
        </w:tc>
        <w:tc>
          <w:tcPr>
            <w:tcW w:w="1800" w:type="dxa"/>
          </w:tcPr>
          <w:p w:rsidR="0086504F" w:rsidRPr="00B722C8" w:rsidRDefault="0086504F" w:rsidP="00AF4E0A">
            <w:pPr>
              <w:spacing w:after="0" w:line="240" w:lineRule="auto"/>
              <w:rPr>
                <w:rFonts w:eastAsia="Times New Roman" w:cs="Times New Roman"/>
                <w:color w:val="000000"/>
                <w:kern w:val="0"/>
                <w:sz w:val="24"/>
                <w:lang w:eastAsia="vi-VN"/>
              </w:rPr>
            </w:pPr>
            <w:r w:rsidRPr="00B722C8">
              <w:rPr>
                <w:rFonts w:eastAsia="Times New Roman" w:cs="Times New Roman"/>
                <w:color w:val="000000"/>
                <w:kern w:val="0"/>
                <w:sz w:val="24"/>
                <w:lang w:eastAsia="vi-VN"/>
              </w:rPr>
              <w:t>VBF và BritCham</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Thời gian cấp phép thuốc và quản lý thay đổi sau phê duyệt</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Minh bạch và rút ngắn thời gian cấp phép; mở rộng cơ chế reliance cho PACs; cho phép cơ chế variation cho thay đổi địa điểm sản xuất; xây dựng khung pháp lý cho giá bảo mật và MEA; giảm thuế nhập khẩu nguyên liệu dược.</w:t>
            </w:r>
          </w:p>
        </w:tc>
        <w:tc>
          <w:tcPr>
            <w:tcW w:w="1359" w:type="dxa"/>
          </w:tcPr>
          <w:p w:rsidR="0086504F" w:rsidRPr="00B722C8" w:rsidRDefault="0086504F" w:rsidP="00AF4E0A">
            <w:pPr>
              <w:spacing w:after="0" w:line="240" w:lineRule="auto"/>
              <w:rPr>
                <w:rFonts w:eastAsia="Times New Roman" w:cs="Times New Roman"/>
                <w:color w:val="000000"/>
                <w:kern w:val="0"/>
                <w:sz w:val="24"/>
                <w:lang w:eastAsia="vi-VN"/>
              </w:rPr>
            </w:pPr>
            <w:r w:rsidRPr="00B722C8">
              <w:rPr>
                <w:rFonts w:eastAsia="Times New Roman" w:cs="Times New Roman"/>
                <w:color w:val="000000"/>
                <w:kern w:val="0"/>
                <w:sz w:val="24"/>
                <w:lang w:eastAsia="vi-VN"/>
              </w:rPr>
              <w:t xml:space="preserve">Bộ Y tế </w:t>
            </w:r>
          </w:p>
        </w:tc>
        <w:tc>
          <w:tcPr>
            <w:tcW w:w="4131" w:type="dxa"/>
          </w:tcPr>
          <w:p w:rsidR="0086504F" w:rsidRDefault="0086504F" w:rsidP="00AF4E0A">
            <w:pPr>
              <w:spacing w:after="0" w:line="240" w:lineRule="auto"/>
              <w:rPr>
                <w:rFonts w:eastAsia="Times New Roman" w:cs="Times New Roman"/>
                <w:color w:val="000000"/>
                <w:kern w:val="0"/>
                <w:sz w:val="24"/>
                <w:lang w:eastAsia="vi-VN"/>
              </w:rPr>
            </w:pPr>
            <w:r w:rsidRPr="00C92FA7">
              <w:rPr>
                <w:rFonts w:eastAsia="Times New Roman" w:cs="Times New Roman"/>
                <w:color w:val="000000"/>
                <w:kern w:val="0"/>
                <w:sz w:val="24"/>
                <w:lang w:eastAsia="vi-VN"/>
              </w:rPr>
              <w:t xml:space="preserve">Nội dung kiến nghị về thời gian cấp phép thuốc và quản lý thay đổi sau phê duyệt đã được Bộ Y tế giải trình, đồng thời một số nội dung đã được xử lý và tiếp tục hoàn thiện trong quá trình sửa đổi các quy định liên quan. Theo đó, Bộ Y tế cho biết toàn bộ thủ tục đăng ký lưu hành thuốc hiện đã được thực hiện trực tuyến toàn trình trên hệ thống dịch vụ công, bảo đảm công khai, minh bạch và cho phép doanh nghiệp theo dõi toàn bộ quá trình xử lý hồ sơ. Đồng thời, quy định hiện hành đã áp dụng các thời hạn giải quyết khác nhau theo từng nhóm thuốc, trong đó rút ngắn thời gian xử lý đối với các trường hợp ưu tiên và thuốc được thẩm định theo cơ chế tham chiếu. </w:t>
            </w:r>
          </w:p>
          <w:p w:rsidR="0086504F" w:rsidRDefault="0086504F" w:rsidP="00AF4E0A">
            <w:pPr>
              <w:spacing w:after="0" w:line="240" w:lineRule="auto"/>
              <w:rPr>
                <w:rFonts w:eastAsia="Times New Roman" w:cs="Times New Roman"/>
                <w:color w:val="000000"/>
                <w:kern w:val="0"/>
                <w:sz w:val="24"/>
                <w:lang w:eastAsia="vi-VN"/>
              </w:rPr>
            </w:pPr>
            <w:r w:rsidRPr="00C92FA7">
              <w:rPr>
                <w:rFonts w:eastAsia="Times New Roman" w:cs="Times New Roman"/>
                <w:color w:val="000000"/>
                <w:kern w:val="0"/>
                <w:sz w:val="24"/>
                <w:lang w:eastAsia="vi-VN"/>
              </w:rPr>
              <w:t xml:space="preserve">Đối với các kiến nghị liên quan đến thay đổi sau phê duyệt (PACs), Bộ Y tế đã tiếp thu đề xuất về mở rộng áp dụng cơ chế tham chiếu và sẽ nghiên cứu triển khai theo lộ trình phù hợp. Bên cạnh đó, dự thảo Thông tư về đăng ký thuốc đã bổ sung quy định đưa trường hợp thay đổi địa điểm sản xuất vào phạm vi hồ sơ thay đổi sau phê duyệt, đồng thời cho phép kế thừa dữ liệu độ ổn định đã được đánh giá nhằm đơn giản hóa thành phần </w:t>
            </w:r>
            <w:r w:rsidRPr="00C92FA7">
              <w:rPr>
                <w:rFonts w:eastAsia="Times New Roman" w:cs="Times New Roman"/>
                <w:color w:val="000000"/>
                <w:kern w:val="0"/>
                <w:sz w:val="24"/>
                <w:lang w:eastAsia="vi-VN"/>
              </w:rPr>
              <w:lastRenderedPageBreak/>
              <w:t xml:space="preserve">hồ sơ, rút ngắn thời gian chuẩn bị hồ sơ và tạo thuận lợi hơn cho doanh nghiệp. </w:t>
            </w:r>
          </w:p>
          <w:p w:rsidR="0086504F" w:rsidRPr="00B722C8" w:rsidRDefault="0086504F" w:rsidP="00AF4E0A">
            <w:pPr>
              <w:spacing w:after="0" w:line="240" w:lineRule="auto"/>
              <w:rPr>
                <w:rFonts w:eastAsia="Times New Roman" w:cs="Times New Roman"/>
                <w:color w:val="000000"/>
                <w:kern w:val="0"/>
                <w:sz w:val="24"/>
                <w:lang w:eastAsia="vi-VN"/>
              </w:rPr>
            </w:pPr>
            <w:r w:rsidRPr="00C92FA7">
              <w:rPr>
                <w:rFonts w:eastAsia="Times New Roman" w:cs="Times New Roman"/>
                <w:color w:val="000000"/>
                <w:kern w:val="0"/>
                <w:sz w:val="24"/>
                <w:lang w:eastAsia="vi-VN"/>
              </w:rPr>
              <w:t>Đối với kiến nghị về cơ chế giá bảo mật, Bộ Y tế cho biết các quy định hiện hành đã bảo đảm nguyên tắc công khai, minh bạch trong quản lý giá thuốc và không can thiệp vào việc doanh nghiệp quyết định giá bán. Bộ cũng đề nghị cộng đồng doanh nghiệp tiếp tục làm rõ nội dung đề xuất để có cơ sở đánh giá tác động, nghiên cứu, báo cáo cấp có thẩm quyền xem xét trong quá trình hoàn thiện chính sách.</w:t>
            </w:r>
          </w:p>
        </w:tc>
      </w:tr>
      <w:tr w:rsidR="0086504F" w:rsidRPr="005226AB" w:rsidTr="00AF4E0A">
        <w:trPr>
          <w:trHeight w:val="1430"/>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7</w:t>
            </w:r>
          </w:p>
        </w:tc>
        <w:tc>
          <w:tcPr>
            <w:tcW w:w="1800" w:type="dxa"/>
          </w:tcPr>
          <w:p w:rsidR="0086504F" w:rsidRPr="00B722C8" w:rsidRDefault="0086504F" w:rsidP="00AF4E0A">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Doanh nghiệp</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Thủ tục giấy phép lao động cho người nước ngoài chồng chéo</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Cho phép chuyên gia chỉ cấp phép tại doanh nghiệp đầu tiên, nơi tiếp theo chỉ thông báo; miễn cấp lại khi chỉ thay đổi hộ chiếu hoặc địa điểm cùng tỉnh; bổ sung Khoản 5 Điều 4 Nghị định 219/2025 cho phép di chuyển nội bộ được ký hợp đồng và trả lương tại Việt Nam; chấp nhận giấy khám sức khỏe do cơ sở nước ngoài cấp.</w:t>
            </w:r>
          </w:p>
        </w:tc>
        <w:tc>
          <w:tcPr>
            <w:tcW w:w="1359"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Bộ Nội vụ phối hợp Bộ Y tế.</w:t>
            </w:r>
          </w:p>
        </w:tc>
        <w:tc>
          <w:tcPr>
            <w:tcW w:w="4131"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Nội dung kiến nghị đã được Bộ Nội vụ tiếp thu và đang được xử lý thông qua việc sửa đổi, bổ sung </w:t>
            </w:r>
            <w:r w:rsidRPr="005226AB">
              <w:rPr>
                <w:rFonts w:eastAsia="Times New Roman" w:cs="Times New Roman"/>
                <w:b/>
                <w:color w:val="000000"/>
                <w:kern w:val="0"/>
                <w:sz w:val="24"/>
                <w:lang w:val="vi-VN" w:eastAsia="vi-VN"/>
              </w:rPr>
              <w:t>Nghị định số 219/2025/NĐ-CP</w:t>
            </w:r>
            <w:r w:rsidRPr="005226AB">
              <w:rPr>
                <w:rFonts w:eastAsia="Times New Roman" w:cs="Times New Roman"/>
                <w:color w:val="000000"/>
                <w:kern w:val="0"/>
                <w:sz w:val="24"/>
                <w:lang w:val="vi-VN" w:eastAsia="vi-VN"/>
              </w:rPr>
              <w:t xml:space="preserve"> về người lao động nước ngoài làm việc tại Việt Nam. Theo đó, dự thảo Nghị định dự kiến sửa đổi theo hướng cắt giảm, đơn giản hóa thành phần hồ sơ, tạo thuận lợi hơn đối với các trường hợp cấp lại, gia hạn giấy phép lao động; chấp nhận giấy khám sức khỏe do cơ sở y tế có thẩm quyền của Việt Nam hoặc nước ngoài cấp còn giá trị trong thời hạn 12 tháng; đơn giản hóa thủ tục đối với trường hợp thay đổi địa điểm làm việc; đồng thời ưu tiên </w:t>
            </w:r>
            <w:r w:rsidRPr="005226AB">
              <w:rPr>
                <w:rFonts w:eastAsia="Times New Roman" w:cs="Times New Roman"/>
                <w:color w:val="000000"/>
                <w:kern w:val="0"/>
                <w:sz w:val="24"/>
                <w:lang w:val="vi-VN" w:eastAsia="vi-VN"/>
              </w:rPr>
              <w:lastRenderedPageBreak/>
              <w:t xml:space="preserve">khai thác, sử dụng dữ liệu đã có trong các cơ sở dữ liệu để giảm yêu cầu cung cấp lại hồ sơ, giấy tờ, góp phần giảm chi phí tuân thủ cho doanh nghiệp. </w:t>
            </w:r>
          </w:p>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Đối với kiến nghị liên quan đến việc ký kết hợp đồng lao động và trả lương đối với người lao động nước ngoài di chuyển trong nội bộ doanh nghiệp, Bộ Nội vụ cho biết các quy định hiện hành không có sự mâu thuẫn với Nghị định số 219/2025/NĐ-CP.</w:t>
            </w:r>
          </w:p>
        </w:tc>
      </w:tr>
      <w:tr w:rsidR="0086504F" w:rsidRPr="005226AB" w:rsidTr="00AF4E0A">
        <w:trPr>
          <w:trHeight w:val="1250"/>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8</w:t>
            </w:r>
          </w:p>
        </w:tc>
        <w:tc>
          <w:tcPr>
            <w:tcW w:w="1800" w:type="dxa"/>
          </w:tcPr>
          <w:p w:rsidR="0086504F" w:rsidRDefault="0086504F" w:rsidP="00AF4E0A">
            <w:pPr>
              <w:spacing w:after="0" w:line="240" w:lineRule="auto"/>
              <w:rPr>
                <w:rFonts w:eastAsia="Times New Roman" w:cs="Times New Roman"/>
                <w:color w:val="000000"/>
                <w:kern w:val="0"/>
                <w:sz w:val="24"/>
                <w:lang w:eastAsia="vi-VN"/>
              </w:rPr>
            </w:pPr>
            <w:r w:rsidRPr="00B722C8">
              <w:rPr>
                <w:rFonts w:eastAsia="Times New Roman" w:cs="Times New Roman"/>
                <w:color w:val="000000"/>
                <w:kern w:val="0"/>
                <w:sz w:val="24"/>
                <w:lang w:eastAsia="vi-VN"/>
              </w:rPr>
              <w:t>VASEP và BritCham</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Phát triển và điều phối nguồn nhân lực; cải cách hưu trí</w:t>
            </w:r>
          </w:p>
          <w:p w:rsidR="0086504F" w:rsidRPr="00F60F8E" w:rsidRDefault="0086504F" w:rsidP="00AF4E0A">
            <w:pPr>
              <w:spacing w:after="0" w:line="240" w:lineRule="auto"/>
              <w:rPr>
                <w:rFonts w:eastAsia="Times New Roman" w:cs="Times New Roman"/>
                <w:bCs/>
                <w:color w:val="000000"/>
                <w:kern w:val="0"/>
                <w:sz w:val="24"/>
                <w:lang w:val="vi-VN" w:eastAsia="vi-VN"/>
              </w:rPr>
            </w:pP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Phát huy vai trò chính quyền địa phương và Ban Quản lý Khu Công nghiệp trong tuyển dụng tập trung, điều tiết lao động; hỗ trợ nhà ở công nhân, đào tạo nghề, phúc lợi; cải cách toàn diện hệ thống hưu trí mở rộng độ bao phủ và bảo đảm cân đối tài chính dài hạn.</w:t>
            </w:r>
          </w:p>
        </w:tc>
        <w:tc>
          <w:tcPr>
            <w:tcW w:w="1359"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Bộ Nội vụ, Bộ Nông nghiệp và Môi trường</w:t>
            </w:r>
          </w:p>
        </w:tc>
        <w:tc>
          <w:tcPr>
            <w:tcW w:w="4131"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Nội dung kiến nghị về phát triển, điều phối nguồn nhân lực và cải cách chính sách hưu trí đã được Bộ Nội vụ giải trình và triển khai nhiều giải pháp thực hiện. Đối với nội dung kết nối, điều phối nguồn nhân lực, Bộ Nội vụ cho biết đã đưa vào vận hành </w:t>
            </w:r>
            <w:r w:rsidRPr="005226AB">
              <w:rPr>
                <w:rFonts w:eastAsia="Times New Roman" w:cs="Times New Roman"/>
                <w:b/>
                <w:color w:val="000000"/>
                <w:kern w:val="0"/>
                <w:sz w:val="24"/>
                <w:lang w:val="vi-VN" w:eastAsia="vi-VN"/>
              </w:rPr>
              <w:t>Sàn giao dịch việc làm quốc gia</w:t>
            </w:r>
            <w:r w:rsidRPr="005226AB">
              <w:rPr>
                <w:rFonts w:eastAsia="Times New Roman" w:cs="Times New Roman"/>
                <w:color w:val="000000"/>
                <w:kern w:val="0"/>
                <w:sz w:val="24"/>
                <w:lang w:val="vi-VN" w:eastAsia="vi-VN"/>
              </w:rPr>
              <w:t xml:space="preserve"> từ tháng 4/2026 nhằm tăng cường kết nối cung - cầu lao động trên phạm vi toàn quốc, hỗ trợ doanh nghiệp và Ban Quản lý các khu công nghiệp tra cứu, tuyển dụng và điều phối lao động giữa các địa phương. Đồng thời, Bộ đã có văn bản chỉ đạo các địa phương tăng cường tổ chức các phiên giao dịch việc làm trực tuyến, lưu động và chuyên đề tại các khu, cụm công </w:t>
            </w:r>
            <w:r w:rsidRPr="005226AB">
              <w:rPr>
                <w:rFonts w:eastAsia="Times New Roman" w:cs="Times New Roman"/>
                <w:color w:val="000000"/>
                <w:kern w:val="0"/>
                <w:sz w:val="24"/>
                <w:lang w:val="vi-VN" w:eastAsia="vi-VN"/>
              </w:rPr>
              <w:lastRenderedPageBreak/>
              <w:t xml:space="preserve">nghiệp; đẩy mạnh chia sẻ dữ liệu, kết nối và điều tiết lao động giữa các địa phương, góp phần đáp ứng nhu cầu tuyển dụng của doanh nghiệp. </w:t>
            </w:r>
          </w:p>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Đối với kiến nghị về cải cách hưu trí, Bộ Nội vụ cho biết các định hướng cải cách đã được xác định tại </w:t>
            </w:r>
            <w:r w:rsidRPr="005226AB">
              <w:rPr>
                <w:rFonts w:eastAsia="Times New Roman" w:cs="Times New Roman"/>
                <w:b/>
                <w:color w:val="000000"/>
                <w:kern w:val="0"/>
                <w:sz w:val="24"/>
                <w:lang w:val="vi-VN" w:eastAsia="vi-VN"/>
              </w:rPr>
              <w:t xml:space="preserve">Nghị quyết số 28-NQ/TW </w:t>
            </w:r>
            <w:r w:rsidRPr="005226AB">
              <w:rPr>
                <w:rFonts w:eastAsia="Times New Roman" w:cs="Times New Roman"/>
                <w:color w:val="000000"/>
                <w:kern w:val="0"/>
                <w:sz w:val="24"/>
                <w:lang w:val="vi-VN" w:eastAsia="vi-VN"/>
              </w:rPr>
              <w:t>và đã được thể chế hóa tại Điều 169 Bộ luật Lao động năm 2019, theo đó tuổi nghỉ hưu của người lao động được điều chỉnh theo lộ trình phù hợp với xu hướng già hóa dân số, bảo đảm cân đối Quỹ bảo hiểm xã hội trong dài hạn, đồng thời vẫn đáp ứng yêu cầu phát triển của thị trường lao động và đặc thù của từng nhóm ngành, nghề.</w:t>
            </w:r>
          </w:p>
        </w:tc>
      </w:tr>
      <w:tr w:rsidR="0086504F" w:rsidRPr="005226AB" w:rsidTr="00AF4E0A">
        <w:trPr>
          <w:trHeight w:val="1520"/>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9</w:t>
            </w:r>
          </w:p>
        </w:tc>
        <w:tc>
          <w:tcPr>
            <w:tcW w:w="1800" w:type="dxa"/>
          </w:tcPr>
          <w:p w:rsidR="0086504F" w:rsidRPr="00B722C8" w:rsidRDefault="0086504F" w:rsidP="00AF4E0A">
            <w:pPr>
              <w:spacing w:after="0" w:line="240" w:lineRule="auto"/>
              <w:rPr>
                <w:rFonts w:eastAsia="Times New Roman" w:cs="Times New Roman"/>
                <w:color w:val="000000"/>
                <w:kern w:val="0"/>
                <w:sz w:val="24"/>
                <w:lang w:eastAsia="vi-VN"/>
              </w:rPr>
            </w:pPr>
            <w:r w:rsidRPr="00B722C8">
              <w:rPr>
                <w:rFonts w:eastAsia="Times New Roman" w:cs="Times New Roman"/>
                <w:color w:val="000000"/>
                <w:kern w:val="0"/>
                <w:sz w:val="24"/>
                <w:lang w:eastAsia="vi-VN"/>
              </w:rPr>
              <w:t>VBF</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Áp dụng cam kết tiếp cận thị trường theo các FTA và bỏ Kiểm tra nhu cầu kinh tế (ENT)</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Ban hành hướng dẫn xác nhận nhà đầu tư đủ điều kiện được dựa vào cam kết FTA thay vì WTO khi FTA có lợi hơn; áp dụng đánh giá theo hiệp ước và đặc thù nhà đầu tư; khẩn trương ban hành nghị định thay thế Nghị định 09/2018 để bãi bỏ ENT; làm rõ cam kết CPTPP cho dịch vụ trò chơi điện tử.</w:t>
            </w:r>
          </w:p>
        </w:tc>
        <w:tc>
          <w:tcPr>
            <w:tcW w:w="1359"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Bộ Tài chính, Bộ Công Thương, Bộ Khoa học và Công nghệ </w:t>
            </w:r>
          </w:p>
        </w:tc>
        <w:tc>
          <w:tcPr>
            <w:tcW w:w="4131"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Nội dung kiến nghị về áp dụng điều kiện tiếp cận thị trường theo các hiệp định thương mại tự do (FTA) đã cơ bản được thể chế hóa trong Luật Đầu tư năm 2025 và các văn bản hướng dẫn thi hành. Theo đó, </w:t>
            </w:r>
            <w:r w:rsidRPr="005226AB">
              <w:rPr>
                <w:rFonts w:eastAsia="Times New Roman" w:cs="Times New Roman"/>
                <w:b/>
                <w:color w:val="000000"/>
                <w:kern w:val="0"/>
                <w:sz w:val="24"/>
                <w:lang w:val="vi-VN" w:eastAsia="vi-VN"/>
              </w:rPr>
              <w:t>Luật Đầu tư năm 2025 và Nghị định số 96/2026/NĐ-CP</w:t>
            </w:r>
            <w:r w:rsidRPr="005226AB">
              <w:rPr>
                <w:rFonts w:eastAsia="Times New Roman" w:cs="Times New Roman"/>
                <w:color w:val="000000"/>
                <w:kern w:val="0"/>
                <w:sz w:val="24"/>
                <w:lang w:val="vi-VN" w:eastAsia="vi-VN"/>
              </w:rPr>
              <w:t xml:space="preserve"> đã quy định rõ nguyên tắc nhà đầu tư nước ngoài được áp dụng điều kiện tiếp cận thị trường theo điều ước quốc tế có quy định thuận lợi hơn và được lựa chọn áp dụng một điều ước quốc tế về đầu tư khi </w:t>
            </w:r>
            <w:r w:rsidRPr="005226AB">
              <w:rPr>
                <w:rFonts w:eastAsia="Times New Roman" w:cs="Times New Roman"/>
                <w:color w:val="000000"/>
                <w:kern w:val="0"/>
                <w:sz w:val="24"/>
                <w:lang w:val="vi-VN" w:eastAsia="vi-VN"/>
              </w:rPr>
              <w:lastRenderedPageBreak/>
              <w:t xml:space="preserve">có nhiều điều ước cùng điều chỉnh. Bộ Công Thương cũng đã đề nghị các địa phương thực hiện thống nhất các quy định này trong quá trình giải quyết thủ tục đầu tư, bảo đảm việc áp dụng đầy đủ các cam kết quốc tế mà Việt Nam là thành viên. </w:t>
            </w:r>
          </w:p>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Đối với kiến nghị về bãi bỏ thủ tục Kiểm tra nhu cầu kinh tế (ENT), Bộ Công Thương cho biết đang chủ trì xây dựng Nghị định thay thế Nghị định số 09/2018/NĐ-CP nhằm nội luật hóa lộ trình thực hiện các cam kết tại Hiệp định CPTPP và EVFTA. Đối với lĩnh vực dịch vụ trò chơi điện tử, Bộ cũng cho biết việc thực hiện các cam kết mở cửa thị trường theo CPTPP sẽ được triển khai theo đúng lộ trình đã cam kết, đồng thời vẫn bảo đảm tuân thủ các quy định của pháp luật Việt Nam về điều kiện kinh doanh, đăng ký và cấp phép.</w:t>
            </w:r>
          </w:p>
        </w:tc>
      </w:tr>
      <w:tr w:rsidR="0086504F" w:rsidRPr="00C94168" w:rsidTr="00AF4E0A">
        <w:trPr>
          <w:trHeight w:val="980"/>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10</w:t>
            </w:r>
          </w:p>
        </w:tc>
        <w:tc>
          <w:tcPr>
            <w:tcW w:w="1800" w:type="dxa"/>
          </w:tcPr>
          <w:p w:rsidR="0086504F" w:rsidRPr="00B722C8" w:rsidRDefault="0086504F" w:rsidP="00AF4E0A">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Doanh nghiệp</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Hạn chế vận tải hàng hóa nội đô thiếu hạ tầng hỗ trợ</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Phát triển hạ tầng logistics vùng ven đồng bộ với chính sách hạn chế xe tải; tăng phối hợp giữa quản lý giao thông và quy hoạch vận tải đô thị.</w:t>
            </w:r>
          </w:p>
        </w:tc>
        <w:tc>
          <w:tcPr>
            <w:tcW w:w="1359" w:type="dxa"/>
          </w:tcPr>
          <w:p w:rsidR="0086504F" w:rsidRPr="00B722C8" w:rsidRDefault="0086504F" w:rsidP="00AF4E0A">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Công an</w:t>
            </w:r>
          </w:p>
        </w:tc>
        <w:tc>
          <w:tcPr>
            <w:tcW w:w="4131" w:type="dxa"/>
          </w:tcPr>
          <w:p w:rsidR="0086504F" w:rsidRDefault="0086504F" w:rsidP="00AF4E0A">
            <w:pPr>
              <w:spacing w:after="0" w:line="240" w:lineRule="auto"/>
              <w:rPr>
                <w:rFonts w:eastAsia="Times New Roman" w:cs="Times New Roman"/>
                <w:color w:val="000000"/>
                <w:kern w:val="0"/>
                <w:sz w:val="24"/>
                <w:lang w:eastAsia="vi-VN"/>
              </w:rPr>
            </w:pPr>
            <w:r w:rsidRPr="00C92FA7">
              <w:rPr>
                <w:rFonts w:eastAsia="Times New Roman" w:cs="Times New Roman"/>
                <w:color w:val="000000"/>
                <w:kern w:val="0"/>
                <w:sz w:val="24"/>
                <w:lang w:eastAsia="vi-VN"/>
              </w:rPr>
              <w:t xml:space="preserve">Nội dung kiến nghị đã được các cơ quan liên quan giải trình và đang được triển khai thông qua các giải pháp về tổ chức giao thông và phát triển hạ tầng logistics. Theo đó, Bộ Xây dựng cho biết việc quy định phạm vi và thời gian hoạt động của phương tiện trong khu </w:t>
            </w:r>
            <w:r w:rsidRPr="00C92FA7">
              <w:rPr>
                <w:rFonts w:eastAsia="Times New Roman" w:cs="Times New Roman"/>
                <w:color w:val="000000"/>
                <w:kern w:val="0"/>
                <w:sz w:val="24"/>
                <w:lang w:eastAsia="vi-VN"/>
              </w:rPr>
              <w:lastRenderedPageBreak/>
              <w:t xml:space="preserve">vực đô thị thuộc thẩm quyền của Ủy ban nhân dân cấp tỉnh theo quy định của Luật Đường bộ năm 2024 và đã đề nghị địa phương tiếp tục nghiên cứu, xử lý các kiến nghị của doanh nghiệp trong quá trình tổ chức giao thông. </w:t>
            </w:r>
          </w:p>
          <w:p w:rsidR="0086504F" w:rsidRDefault="0086504F" w:rsidP="00AF4E0A">
            <w:pPr>
              <w:spacing w:after="0" w:line="240" w:lineRule="auto"/>
              <w:rPr>
                <w:rFonts w:eastAsia="Times New Roman" w:cs="Times New Roman"/>
                <w:color w:val="000000"/>
                <w:kern w:val="0"/>
                <w:sz w:val="24"/>
                <w:lang w:eastAsia="vi-VN"/>
              </w:rPr>
            </w:pPr>
            <w:r w:rsidRPr="00C92FA7">
              <w:rPr>
                <w:rFonts w:eastAsia="Times New Roman" w:cs="Times New Roman"/>
                <w:color w:val="000000"/>
                <w:kern w:val="0"/>
                <w:sz w:val="24"/>
                <w:lang w:eastAsia="vi-VN"/>
              </w:rPr>
              <w:t>Đối với Hà Nội và Thành phố Hồ Chí Minh, Bộ Công an cho biết các địa phương đã và đang triển khai nhiều giải pháp nhằm từng bước đồng bộ chính sách hạn chế phương tiện với phát triển hạ tầng logistics, bao gồm phát triển các tuyến vành đai, quy hoạch các bãi đỗ xe và điểm trung chuyển hàng hóa tại cửa ngõ, đẩy mạnh số hóa việc cấp phép lưu thông, cải cách thủ tục cấp phép đối với các trường hợp cần thiết, đồng thời rà soát, hoàn thiện các quy định về tổ chức giao thông phù hợp với yêu cầu phát triển đô thị và thực tiễn hoạt động vận tải. Bên cạnh đó, các địa phương cũng đang tiếp tục nghiên cứu, xây dựng và hoàn thiện các quy hoạch, đề án và quy định mới nhằm nâng cao hiệu quả tổ chức giao thông, phát triển hệ thống logistics vùng ven và giảm tác động đối với hoạt động của doanh nghiệp.</w:t>
            </w:r>
          </w:p>
          <w:p w:rsidR="0086504F" w:rsidRDefault="0086504F" w:rsidP="00AF4E0A">
            <w:pPr>
              <w:spacing w:after="0" w:line="240" w:lineRule="auto"/>
              <w:rPr>
                <w:rFonts w:eastAsia="Times New Roman" w:cs="Times New Roman"/>
                <w:color w:val="000000"/>
                <w:kern w:val="0"/>
                <w:sz w:val="24"/>
                <w:lang w:eastAsia="vi-VN"/>
              </w:rPr>
            </w:pPr>
          </w:p>
        </w:tc>
      </w:tr>
      <w:tr w:rsidR="0086504F" w:rsidRPr="005226AB" w:rsidTr="00AF4E0A">
        <w:trPr>
          <w:trHeight w:val="309"/>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11</w:t>
            </w:r>
          </w:p>
        </w:tc>
        <w:tc>
          <w:tcPr>
            <w:tcW w:w="1800" w:type="dxa"/>
          </w:tcPr>
          <w:p w:rsidR="0086504F" w:rsidRDefault="0086504F" w:rsidP="00AF4E0A">
            <w:pPr>
              <w:spacing w:after="0" w:line="240" w:lineRule="auto"/>
              <w:rPr>
                <w:rFonts w:eastAsia="Times New Roman" w:cs="Times New Roman"/>
                <w:color w:val="000000"/>
                <w:kern w:val="0"/>
                <w:sz w:val="24"/>
                <w:lang w:eastAsia="vi-VN"/>
              </w:rPr>
            </w:pPr>
            <w:r w:rsidRPr="00B722C8">
              <w:rPr>
                <w:rFonts w:eastAsia="Times New Roman" w:cs="Times New Roman"/>
                <w:color w:val="000000"/>
                <w:kern w:val="0"/>
                <w:sz w:val="24"/>
                <w:lang w:eastAsia="vi-VN"/>
              </w:rPr>
              <w:t>VPPA</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Hướng dẫn tái sử dụng tro xỉ, bùn thải và miễn EPR cho bao bì tái chế</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Ban hành hướng dẫn dùng tro xỉ làm vật liệu san lấp và sản xuất vật liệu xây dựng; ban hành quy định dùng tro xỉ hoàn nguyên, hoàn thổ mỏ; ưu tiên tro xỉ đạt chuẩn trong các dự án đầu tư công; miễn EPR cho bao bì tái chế.</w:t>
            </w:r>
          </w:p>
        </w:tc>
        <w:tc>
          <w:tcPr>
            <w:tcW w:w="1359"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Bộ Nông nghiệp và Môi trường, Bộ Xây dựng </w:t>
            </w:r>
          </w:p>
        </w:tc>
        <w:tc>
          <w:tcPr>
            <w:tcW w:w="4131"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Theo đó, Bộ Nông nghiệp và Môi trường cho biết Luật Bảo vệ môi trường, </w:t>
            </w:r>
            <w:r w:rsidRPr="005226AB">
              <w:rPr>
                <w:rFonts w:eastAsia="Times New Roman" w:cs="Times New Roman"/>
                <w:b/>
                <w:color w:val="000000"/>
                <w:kern w:val="0"/>
                <w:sz w:val="24"/>
                <w:lang w:val="vi-VN" w:eastAsia="vi-VN"/>
              </w:rPr>
              <w:t xml:space="preserve">Nghị định số 08/2022/NĐ-CP và Nghị định số 209/2026/NĐ-CP </w:t>
            </w:r>
            <w:r w:rsidRPr="005226AB">
              <w:rPr>
                <w:rFonts w:eastAsia="Times New Roman" w:cs="Times New Roman"/>
                <w:color w:val="000000"/>
                <w:kern w:val="0"/>
                <w:sz w:val="24"/>
                <w:lang w:val="vi-VN" w:eastAsia="vi-VN"/>
              </w:rPr>
              <w:t xml:space="preserve">đã quy định cơ sở pháp lý đối với việc sử dụng chất thải đáp ứng tiêu chuẩn, quy chuẩn kỹ thuật làm nguyên liệu sản xuất vật liệu xây dựng, san lấp mặt bằng và các công trình xây dựng. Đồng thời, Bộ Xây dựng cũng đã ban hành nhiều tiêu chuẩn, quy chuẩn và hướng dẫn kỹ thuật liên quan đến việc sử dụng tro, xỉ làm nguyên liệu sản xuất vật liệu xây dựng và vật liệu san lấp, tạo cơ sở cho việc tái sử dụng các loại chất thải đáp ứng yêu cầu kỹ thuật. Đồng thời, Bộ Nông nghiệp và Môi trường cho biết sẽ tiếp tục phối hợp với Bộ Xây dựng rà soát, hoàn thiện hệ thống quy chuẩn, tiêu chuẩn và hướng dẫn kỹ thuật nhằm mở rộng phạm vi sử dụng chất thải làm nguyên liệu sản xuất vật liệu xây dựng, trong đó có tro xỉ. Đồng thời, trong quá trình xây dựng dự thảo Luật sửa đổi, bổ sung một số điều của Luật Bảo vệ môi trường và các văn bản hướng dẫn thi hành, Bộ đã tiếp thu kiến nghị của doanh nghiệp để nghiên cứu, đề xuất cơ chế miễn nghĩa vụ đóng </w:t>
            </w:r>
            <w:r w:rsidRPr="005226AB">
              <w:rPr>
                <w:rFonts w:eastAsia="Times New Roman" w:cs="Times New Roman"/>
                <w:color w:val="000000"/>
                <w:kern w:val="0"/>
                <w:sz w:val="24"/>
                <w:lang w:val="vi-VN" w:eastAsia="vi-VN"/>
              </w:rPr>
              <w:lastRenderedPageBreak/>
              <w:t>góp chi phí EPR đối với phần bao bì được sản xuất từ vật liệu tái chế đạt chuẩn hoặc bao bì tự phân hủy, qua đó khuyến khích hoạt động tái chế và thúc đẩy kinh tế tuần hoàn.</w:t>
            </w:r>
          </w:p>
        </w:tc>
      </w:tr>
      <w:tr w:rsidR="0086504F" w:rsidRPr="005226AB" w:rsidTr="00AF4E0A">
        <w:trPr>
          <w:trHeight w:val="167"/>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12</w:t>
            </w:r>
          </w:p>
        </w:tc>
        <w:tc>
          <w:tcPr>
            <w:tcW w:w="1800" w:type="dxa"/>
          </w:tcPr>
          <w:p w:rsidR="0086504F" w:rsidRPr="00B722C8" w:rsidRDefault="0086504F" w:rsidP="00AF4E0A">
            <w:pPr>
              <w:spacing w:after="0" w:line="240" w:lineRule="auto"/>
              <w:rPr>
                <w:rFonts w:eastAsia="Times New Roman" w:cs="Times New Roman"/>
                <w:color w:val="000000"/>
                <w:kern w:val="0"/>
                <w:sz w:val="24"/>
                <w:lang w:eastAsia="vi-VN"/>
              </w:rPr>
            </w:pPr>
            <w:r w:rsidRPr="00B722C8">
              <w:rPr>
                <w:rFonts w:eastAsia="Times New Roman" w:cs="Times New Roman"/>
                <w:color w:val="000000"/>
                <w:kern w:val="0"/>
                <w:sz w:val="24"/>
                <w:lang w:eastAsia="vi-VN"/>
              </w:rPr>
              <w:t>Hiệp hội Bia - Rượu - Nước giải khát Việt Nam (VBA) và Tập đoàn Heineken</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Khoảng trống pháp lý chuyên biệt và sự thiếu đồng bộ trong tiêu chuẩn tái sử dụng nước thải phục vụ kinh tế tuần hoàn (bổ sung)</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Đề nghị Bộ Nông nghiệp và Môi trường khẩn trương nghiên cứu, ban hành Quy chuẩn kỹ thuật quốc gia riêng biệt về nước tái sử dụng, trong đó phân định rõ ràng các ngưỡng thông số kỹ thuật an toàn phù hợp cho từng mục đích sử dụng cụ thể (tưới cây, rửa đường, giải nhiệt, vệ sinh); đồng thời cụ thể hóa các cơ chế ưu đãi, làn xanh thủ tục hành chính để khuyến khích các tập đoàn đa quốc gia đầu tư sâu vào công nghệ tuần hoàn nước.</w:t>
            </w:r>
          </w:p>
        </w:tc>
        <w:tc>
          <w:tcPr>
            <w:tcW w:w="1359"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Bộ Nông nghiệp và Môi trường</w:t>
            </w:r>
          </w:p>
        </w:tc>
        <w:tc>
          <w:tcPr>
            <w:tcW w:w="4131"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Bộ Nông nghiệp và Môi trường cho biết khoản 3 Điều 74 Nghị định số 08/2022/NĐ-CP đã quy định nguyên tắc nước thải sau xử lý được phép tái sử dụng khi đáp ứng yêu cầu về bảo vệ môi trường và tiêu chuẩn, quy chuẩn chuyên ngành phù hợp với mục đích sử dụng. Trên cơ sở đó, Bộ đã giao đơn vị chuyên môn khẩn trương nghiên cứu, xây dựng quy chuẩn, hướng dẫn kỹ thuật đối với việc sử dụng nước thải sau xử lý làm nước tưới cây và các mục đích phù hợp; đồng thời tiếp thu kiến nghị của doanh nghiệp, chỉ đạo đẩy nhanh quá trình xây dựng, sớm ban hành các quy chuẩn, hướng dẫn kỹ thuật để tạo cơ sở pháp lý thống nhất cho hoạt động tái sử dụng nước thải phục vụ kinh tế tuần hoàn. Trong thời gian chưa ban hành quy chuẩn, hướng dẫn kỹ thuật trong nước, việc áp dụng tiêu chuẩn của các nước thuộc Nhóm các nước công nghiệp phát triển được thực hiện theo quy định của </w:t>
            </w:r>
            <w:r w:rsidRPr="005226AB">
              <w:rPr>
                <w:rFonts w:eastAsia="Times New Roman" w:cs="Times New Roman"/>
                <w:color w:val="000000"/>
                <w:kern w:val="0"/>
                <w:sz w:val="24"/>
                <w:lang w:val="vi-VN" w:eastAsia="vi-VN"/>
              </w:rPr>
              <w:lastRenderedPageBreak/>
              <w:t>Nghị định số 08/2022/NĐ-CP.</w:t>
            </w:r>
          </w:p>
        </w:tc>
      </w:tr>
      <w:tr w:rsidR="0086504F" w:rsidRPr="00C94168" w:rsidTr="00AF4E0A">
        <w:trPr>
          <w:trHeight w:val="1700"/>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13</w:t>
            </w:r>
          </w:p>
        </w:tc>
        <w:tc>
          <w:tcPr>
            <w:tcW w:w="1800" w:type="dxa"/>
          </w:tcPr>
          <w:p w:rsidR="0086504F" w:rsidRPr="00B722C8" w:rsidRDefault="0086504F" w:rsidP="00AF4E0A">
            <w:pPr>
              <w:spacing w:after="0" w:line="240" w:lineRule="auto"/>
              <w:rPr>
                <w:rFonts w:eastAsia="Times New Roman" w:cs="Times New Roman"/>
                <w:color w:val="000000"/>
                <w:kern w:val="0"/>
                <w:sz w:val="24"/>
                <w:lang w:eastAsia="vi-VN"/>
              </w:rPr>
            </w:pPr>
            <w:r w:rsidRPr="00B722C8">
              <w:rPr>
                <w:rFonts w:eastAsia="Times New Roman" w:cs="Times New Roman"/>
                <w:color w:val="000000"/>
                <w:kern w:val="0"/>
                <w:sz w:val="24"/>
                <w:lang w:eastAsia="vi-VN"/>
              </w:rPr>
              <w:t>VBA</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Kiến nghị đặc thù ngành đồ uống</w:t>
            </w:r>
          </w:p>
        </w:tc>
        <w:tc>
          <w:tcPr>
            <w:tcW w:w="4950" w:type="dxa"/>
          </w:tcPr>
          <w:p w:rsidR="0086504F" w:rsidRPr="00B722C8"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Xem xét hoãn áp dụng tăng thuế tiêu thụ đặc biệt từ 2027 sang 01/01/2028; giảm 2% GTGT cho sản phẩm đồ uống như các ngành khác; giảm, miễn thuế nhập khẩu nguyên liệu đầu vào then chốt (nhôm, malt, hoa bia, CO₂, bao bì); giảm thuế suất tiêu thụ đặc biệt cho nước giải khát có đường trên 5g/100ml xuống 5% trong năm đầu; thống nhất phân loại mã HS hàng nhập theo bộ.</w:t>
            </w:r>
          </w:p>
        </w:tc>
        <w:tc>
          <w:tcPr>
            <w:tcW w:w="1359" w:type="dxa"/>
          </w:tcPr>
          <w:p w:rsidR="0086504F" w:rsidRPr="00B722C8" w:rsidRDefault="0086504F" w:rsidP="00AF4E0A">
            <w:pPr>
              <w:spacing w:after="0" w:line="240" w:lineRule="auto"/>
              <w:rPr>
                <w:rFonts w:eastAsia="Times New Roman" w:cs="Times New Roman"/>
                <w:color w:val="000000"/>
                <w:kern w:val="0"/>
                <w:sz w:val="24"/>
                <w:lang w:eastAsia="vi-VN"/>
              </w:rPr>
            </w:pPr>
            <w:r w:rsidRPr="00B722C8">
              <w:rPr>
                <w:rFonts w:eastAsia="Times New Roman" w:cs="Times New Roman"/>
                <w:color w:val="000000"/>
                <w:kern w:val="0"/>
                <w:sz w:val="24"/>
                <w:lang w:eastAsia="vi-VN"/>
              </w:rPr>
              <w:t>Bộ Tài chính</w:t>
            </w:r>
          </w:p>
        </w:tc>
        <w:tc>
          <w:tcPr>
            <w:tcW w:w="4131" w:type="dxa"/>
          </w:tcPr>
          <w:p w:rsidR="0086504F" w:rsidRDefault="0086504F" w:rsidP="00AF4E0A">
            <w:pPr>
              <w:spacing w:after="0" w:line="240" w:lineRule="auto"/>
              <w:rPr>
                <w:rFonts w:eastAsia="Times New Roman" w:cs="Times New Roman"/>
                <w:color w:val="000000"/>
                <w:kern w:val="0"/>
                <w:sz w:val="24"/>
                <w:lang w:eastAsia="vi-VN"/>
              </w:rPr>
            </w:pPr>
            <w:r w:rsidRPr="00323552">
              <w:rPr>
                <w:rFonts w:eastAsia="Times New Roman" w:cs="Times New Roman"/>
                <w:color w:val="000000"/>
                <w:kern w:val="0"/>
                <w:sz w:val="24"/>
                <w:lang w:eastAsia="vi-VN"/>
              </w:rPr>
              <w:t xml:space="preserve">Nội dung kiến nghị về chính sách thuế đối với ngành đồ uống đã được Bộ Tài chính giải trình và được xem xét trong quá trình xây dựng chính sách thuế. Theo đó, Luật Thuế tiêu thụ đặc biệt số 66/2025/QH15 đã quy định lộ trình áp dụng thuế theo hướng giãn thời điểm thực hiện và giảm mức tăng so với phương án đề xuất ban đầu, qua đó đã tiếp thu một phần kiến nghị của doanh nghiệp về việc điều chỉnh lộ trình tăng thuế trong bối cảnh sản xuất, kinh doanh còn nhiều khó khăn. </w:t>
            </w:r>
          </w:p>
          <w:p w:rsidR="0086504F" w:rsidRPr="00B722C8" w:rsidRDefault="0086504F" w:rsidP="00AF4E0A">
            <w:pPr>
              <w:spacing w:after="0" w:line="240" w:lineRule="auto"/>
              <w:rPr>
                <w:rFonts w:eastAsia="Times New Roman" w:cs="Times New Roman"/>
                <w:color w:val="000000"/>
                <w:kern w:val="0"/>
                <w:sz w:val="24"/>
                <w:lang w:eastAsia="vi-VN"/>
              </w:rPr>
            </w:pPr>
            <w:r w:rsidRPr="00323552">
              <w:rPr>
                <w:rFonts w:eastAsia="Times New Roman" w:cs="Times New Roman"/>
                <w:color w:val="000000"/>
                <w:kern w:val="0"/>
                <w:sz w:val="24"/>
                <w:lang w:eastAsia="vi-VN"/>
              </w:rPr>
              <w:t xml:space="preserve">Đối với các kiến nghị về giảm thuế nhập khẩu nguyên liệu đầu vào, Bộ Tài chính cho biết đã trình Chính phủ ban hành các chính sách giảm thuế nhập khẩu đối với một số mặt hàng xăng, dầu và nguyên liệu sản xuất xăng, dầu nhằm hỗ trợ hoạt động sản xuất, kinh doanh trước những biến động của tình hình quốc tế. Đồng thời, Bộ cũng cho biết hệ thống pháp luật hiện hành đã có các cơ chế ưu đãi về thuế xuất khẩu, thuế nhập khẩu đối với một số lĩnh vực, ngành nghề và địa bàn ưu đãi đầu tư. Đối với các đề xuất giảm thuế nhập khẩu đối với một </w:t>
            </w:r>
            <w:r w:rsidRPr="00323552">
              <w:rPr>
                <w:rFonts w:eastAsia="Times New Roman" w:cs="Times New Roman"/>
                <w:color w:val="000000"/>
                <w:kern w:val="0"/>
                <w:sz w:val="24"/>
                <w:lang w:eastAsia="vi-VN"/>
              </w:rPr>
              <w:lastRenderedPageBreak/>
              <w:t>số nguyên liệu của ngành đồ uống và điều chỉnh mức thuế tiêu thụ đặc biệt đối với nước giải khát có đường, Bộ Tài chính cho rằng cần tiếp tục thực hiện theo quy định của pháp luật hiện hành do các chính sách này đã được Quốc hội xem xét, quyết định trên cơ sở cân đối nhiều mục tiêu về ngân sách, sức khỏe cộng đồng và phát triển kinh tế - xã hội.</w:t>
            </w:r>
          </w:p>
        </w:tc>
      </w:tr>
      <w:tr w:rsidR="0086504F" w:rsidRPr="00C94168" w:rsidTr="00AF4E0A">
        <w:trPr>
          <w:trHeight w:val="3410"/>
        </w:trPr>
        <w:tc>
          <w:tcPr>
            <w:tcW w:w="630" w:type="dxa"/>
          </w:tcPr>
          <w:p w:rsidR="0086504F" w:rsidRDefault="0086504F" w:rsidP="00AF4E0A">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14</w:t>
            </w:r>
          </w:p>
        </w:tc>
        <w:tc>
          <w:tcPr>
            <w:tcW w:w="1800" w:type="dxa"/>
          </w:tcPr>
          <w:p w:rsidR="0086504F" w:rsidRPr="00B722C8" w:rsidRDefault="0086504F" w:rsidP="00AF4E0A">
            <w:pPr>
              <w:spacing w:after="0" w:line="240" w:lineRule="auto"/>
              <w:rPr>
                <w:rFonts w:eastAsia="Times New Roman" w:cs="Times New Roman"/>
                <w:color w:val="000000"/>
                <w:kern w:val="0"/>
                <w:sz w:val="24"/>
                <w:lang w:eastAsia="vi-VN"/>
              </w:rPr>
            </w:pPr>
            <w:r w:rsidRPr="00B722C8">
              <w:rPr>
                <w:rFonts w:eastAsia="Times New Roman" w:cs="Times New Roman"/>
                <w:color w:val="000000"/>
                <w:kern w:val="0"/>
                <w:sz w:val="24"/>
                <w:lang w:eastAsia="vi-VN"/>
              </w:rPr>
              <w:t>Hiệp hội Thực phẩm Minh Bạch (AFT)</w:t>
            </w:r>
          </w:p>
        </w:tc>
        <w:tc>
          <w:tcPr>
            <w:tcW w:w="2070" w:type="dxa"/>
          </w:tcPr>
          <w:p w:rsidR="0086504F" w:rsidRPr="00F60F8E" w:rsidRDefault="0086504F" w:rsidP="00AF4E0A">
            <w:pPr>
              <w:spacing w:after="0" w:line="240" w:lineRule="auto"/>
              <w:rPr>
                <w:rFonts w:eastAsia="Times New Roman" w:cs="Times New Roman"/>
                <w:bCs/>
                <w:color w:val="000000"/>
                <w:kern w:val="0"/>
                <w:sz w:val="24"/>
                <w:lang w:val="vi-VN" w:eastAsia="vi-VN"/>
              </w:rPr>
            </w:pPr>
            <w:r w:rsidRPr="00F60F8E">
              <w:rPr>
                <w:rFonts w:eastAsia="Times New Roman" w:cs="Times New Roman"/>
                <w:bCs/>
                <w:color w:val="000000"/>
                <w:kern w:val="0"/>
                <w:sz w:val="24"/>
                <w:lang w:val="vi-VN" w:eastAsia="vi-VN"/>
              </w:rPr>
              <w:t>Tổ chức lại sản xuất, xây dựng thương hiệu chung và Quỹ phát triển thị trường cho nông sản, thực phẩm</w:t>
            </w:r>
          </w:p>
        </w:tc>
        <w:tc>
          <w:tcPr>
            <w:tcW w:w="4950"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B722C8">
              <w:rPr>
                <w:rFonts w:eastAsia="Times New Roman" w:cs="Times New Roman"/>
                <w:color w:val="000000"/>
                <w:kern w:val="0"/>
                <w:sz w:val="24"/>
                <w:lang w:val="vi-VN" w:eastAsia="vi-VN"/>
              </w:rPr>
              <w:t>AFT kiến nghị coi việc tổ chức lại sản xuất từ manh mún sang có tổ chức là hướng phát triển chủ đạo, theo định hướng "từ cánh đồng lớn đến cánh đồng có tổ chức"; cho phép thành lập Quỹ phát triển thị trường cho ngành hàng hoặc nhóm sản phẩm, trong đó với ngành đã phát triển thì doanh nghiệp có nghĩa vụ đóng góp, với ngành nhiều doanh nghiệp nhỏ thì ngân sách hỗ trợ 100% trong một đến hai năm đầu rồi giảm xuống 50%; bố trí kinh phí đào tạo, đổi mới nhận thức và hỗ trợ kỹ thuật về tiêu chuẩn hóa bao bì, sản phẩm; chuyển kinh phí xúc tiến thương mại sang hỗ trợ hoạt động quảng bá, nghiên cứu thị trường của thương hiệu tập thể; giao các hiệp hội ngành hàng tổ chức lại ngành hàng dưới thương hiệu chung, ban hành quy tắc ứng xử và điều lệ quản lý quỹ.</w:t>
            </w:r>
          </w:p>
        </w:tc>
        <w:tc>
          <w:tcPr>
            <w:tcW w:w="1359" w:type="dxa"/>
          </w:tcPr>
          <w:p w:rsidR="0086504F" w:rsidRPr="005226AB" w:rsidRDefault="0086504F" w:rsidP="00AF4E0A">
            <w:pPr>
              <w:spacing w:after="0" w:line="240" w:lineRule="auto"/>
              <w:rPr>
                <w:rFonts w:eastAsia="Times New Roman" w:cs="Times New Roman"/>
                <w:color w:val="000000"/>
                <w:kern w:val="0"/>
                <w:sz w:val="24"/>
                <w:lang w:val="vi-VN" w:eastAsia="vi-VN"/>
              </w:rPr>
            </w:pPr>
            <w:r w:rsidRPr="005226AB">
              <w:rPr>
                <w:rFonts w:eastAsia="Times New Roman" w:cs="Times New Roman"/>
                <w:color w:val="000000"/>
                <w:kern w:val="0"/>
                <w:sz w:val="24"/>
                <w:lang w:val="vi-VN" w:eastAsia="vi-VN"/>
              </w:rPr>
              <w:t xml:space="preserve">Bộ Công Thương và Bộ Nông nghiệp và Môi trường </w:t>
            </w:r>
          </w:p>
        </w:tc>
        <w:tc>
          <w:tcPr>
            <w:tcW w:w="4131" w:type="dxa"/>
          </w:tcPr>
          <w:p w:rsidR="0086504F" w:rsidRDefault="0086504F" w:rsidP="00AF4E0A">
            <w:pPr>
              <w:spacing w:after="0" w:line="240" w:lineRule="auto"/>
              <w:rPr>
                <w:rFonts w:eastAsia="Times New Roman" w:cs="Times New Roman"/>
                <w:color w:val="000000"/>
                <w:kern w:val="0"/>
                <w:sz w:val="24"/>
                <w:lang w:eastAsia="vi-VN"/>
              </w:rPr>
            </w:pPr>
            <w:r w:rsidRPr="005226AB">
              <w:rPr>
                <w:rFonts w:eastAsia="Times New Roman" w:cs="Times New Roman"/>
                <w:color w:val="000000"/>
                <w:kern w:val="0"/>
                <w:sz w:val="24"/>
                <w:lang w:val="vi-VN" w:eastAsia="vi-VN"/>
              </w:rPr>
              <w:t xml:space="preserve">Nội dung kiến nghị về phát triển thương hiệu ngành hàng, tổ chức lại sản xuất và hỗ trợ xúc tiến thương mại đã cơ bản được thể chế hóa thông qua các chính sách mới. </w:t>
            </w:r>
            <w:r w:rsidRPr="00323552">
              <w:rPr>
                <w:rFonts w:eastAsia="Times New Roman" w:cs="Times New Roman"/>
                <w:color w:val="000000"/>
                <w:kern w:val="0"/>
                <w:sz w:val="24"/>
                <w:lang w:eastAsia="vi-VN"/>
              </w:rPr>
              <w:t xml:space="preserve">Theo đó, Bộ Công Thương cho biết Chính phủ đã ban hành </w:t>
            </w:r>
            <w:r w:rsidRPr="005226AB">
              <w:rPr>
                <w:rFonts w:eastAsia="Times New Roman" w:cs="Times New Roman"/>
                <w:b/>
                <w:color w:val="000000"/>
                <w:kern w:val="0"/>
                <w:sz w:val="24"/>
                <w:lang w:eastAsia="vi-VN"/>
              </w:rPr>
              <w:t>Nghị định số 240/2026/NĐ-CP</w:t>
            </w:r>
            <w:r w:rsidRPr="00323552">
              <w:rPr>
                <w:rFonts w:eastAsia="Times New Roman" w:cs="Times New Roman"/>
                <w:color w:val="000000"/>
                <w:kern w:val="0"/>
                <w:sz w:val="24"/>
                <w:lang w:eastAsia="vi-VN"/>
              </w:rPr>
              <w:t xml:space="preserve">, cho phép các hiệp hội ngành hàng có tỷ trọng xuất khẩu cao thành lập Quỹ Xúc tiến xuất khẩu ngành hàng để triển khai các hoạt động nghiên cứu thị trường, đổi mới sáng tạo, xây dựng và phát triển thương hiệu, hỗ trợ phòng vệ thương mại. Đồng thời, Nghị định số 230/2026/NĐ-CP đã bổ sung cơ chế ưu tiên hỗ trợ các địa phương, tổ chức và hiệp hội ngành hàng có nhãn hiệu tập thể, nhãn hiệu chứng nhận, chỉ dẫn địa lý, đồng thời tiếp tục lồng ghép các nội dung quảng bá, </w:t>
            </w:r>
            <w:r w:rsidRPr="00323552">
              <w:rPr>
                <w:rFonts w:eastAsia="Times New Roman" w:cs="Times New Roman"/>
                <w:color w:val="000000"/>
                <w:kern w:val="0"/>
                <w:sz w:val="24"/>
                <w:lang w:eastAsia="vi-VN"/>
              </w:rPr>
              <w:lastRenderedPageBreak/>
              <w:t xml:space="preserve">nghiên cứu thị trường và phát triển thương hiệu trong Chương trình cấp quốc gia về xúc tiến thương mại. </w:t>
            </w:r>
          </w:p>
          <w:p w:rsidR="0086504F" w:rsidRDefault="0086504F" w:rsidP="00AF4E0A">
            <w:pPr>
              <w:spacing w:after="0" w:line="240" w:lineRule="auto"/>
              <w:rPr>
                <w:rFonts w:eastAsia="Times New Roman" w:cs="Times New Roman"/>
                <w:color w:val="000000"/>
                <w:kern w:val="0"/>
                <w:sz w:val="24"/>
                <w:lang w:eastAsia="vi-VN"/>
              </w:rPr>
            </w:pPr>
            <w:r w:rsidRPr="00323552">
              <w:rPr>
                <w:rFonts w:eastAsia="Times New Roman" w:cs="Times New Roman"/>
                <w:color w:val="000000"/>
                <w:kern w:val="0"/>
                <w:sz w:val="24"/>
                <w:lang w:eastAsia="vi-VN"/>
              </w:rPr>
              <w:t>Đối với các kiến nghị về tổ chức lại ngành hàng, xây dựng thương hiệu chung và đổi mới phương thức xúc tiến thương mại, Bộ Công Thương cho biết các hoạt động xúc tiến thương mại thời gian qua đã được triển khai theo hướng đa dạng hóa hình thức hỗ trợ, mở rộng các hoạt động kết nối giao thương, nghiên cứu thị trường, phát triển thương hiệu và thương mại điện tử xuyên biên giới; đồng thời khẳng định việc sản phẩm Việt Nam tham gia hệ thống phân phối quốc tế dưới thương hiệu của nhà nhập khẩu là mô hình phổ biến trong thương mại quốc tế và không đồng nghĩa với việc sản phẩm Việt Nam không có thương hiệu hoặc giá trị trên thị trường quốc tế.</w:t>
            </w:r>
          </w:p>
          <w:p w:rsidR="0086504F" w:rsidRDefault="0086504F" w:rsidP="00AF4E0A">
            <w:pPr>
              <w:spacing w:after="0" w:line="240" w:lineRule="auto"/>
              <w:rPr>
                <w:rFonts w:eastAsia="Times New Roman" w:cs="Times New Roman"/>
                <w:color w:val="000000"/>
                <w:kern w:val="0"/>
                <w:sz w:val="24"/>
                <w:lang w:eastAsia="vi-VN"/>
              </w:rPr>
            </w:pPr>
          </w:p>
          <w:p w:rsidR="0086504F" w:rsidRDefault="0086504F" w:rsidP="00AF4E0A">
            <w:pPr>
              <w:spacing w:after="0" w:line="240" w:lineRule="auto"/>
              <w:rPr>
                <w:rFonts w:eastAsia="Times New Roman" w:cs="Times New Roman"/>
                <w:color w:val="000000"/>
                <w:kern w:val="0"/>
                <w:sz w:val="24"/>
                <w:lang w:eastAsia="vi-VN"/>
              </w:rPr>
            </w:pPr>
          </w:p>
          <w:p w:rsidR="0086504F" w:rsidRDefault="0086504F" w:rsidP="00AF4E0A">
            <w:pPr>
              <w:spacing w:after="0" w:line="240" w:lineRule="auto"/>
              <w:rPr>
                <w:rFonts w:eastAsia="Times New Roman" w:cs="Times New Roman"/>
                <w:color w:val="000000"/>
                <w:kern w:val="0"/>
                <w:sz w:val="24"/>
                <w:lang w:eastAsia="vi-VN"/>
              </w:rPr>
            </w:pPr>
          </w:p>
          <w:p w:rsidR="0086504F" w:rsidRDefault="0086504F" w:rsidP="00AF4E0A">
            <w:pPr>
              <w:spacing w:after="0" w:line="240" w:lineRule="auto"/>
              <w:rPr>
                <w:rFonts w:eastAsia="Times New Roman" w:cs="Times New Roman"/>
                <w:color w:val="000000"/>
                <w:kern w:val="0"/>
                <w:sz w:val="24"/>
                <w:lang w:eastAsia="vi-VN"/>
              </w:rPr>
            </w:pPr>
          </w:p>
          <w:p w:rsidR="0086504F" w:rsidRDefault="0086504F" w:rsidP="00AF4E0A">
            <w:pPr>
              <w:spacing w:after="0" w:line="240" w:lineRule="auto"/>
              <w:rPr>
                <w:rFonts w:eastAsia="Times New Roman" w:cs="Times New Roman"/>
                <w:color w:val="000000"/>
                <w:kern w:val="0"/>
                <w:sz w:val="24"/>
                <w:lang w:eastAsia="vi-VN"/>
              </w:rPr>
            </w:pPr>
          </w:p>
          <w:p w:rsidR="0086504F" w:rsidRDefault="0086504F" w:rsidP="00AF4E0A">
            <w:pPr>
              <w:spacing w:after="0" w:line="240" w:lineRule="auto"/>
              <w:rPr>
                <w:rFonts w:eastAsia="Times New Roman" w:cs="Times New Roman"/>
                <w:color w:val="000000"/>
                <w:kern w:val="0"/>
                <w:sz w:val="24"/>
                <w:lang w:eastAsia="vi-VN"/>
              </w:rPr>
            </w:pPr>
          </w:p>
          <w:p w:rsidR="0086504F" w:rsidRPr="00B722C8" w:rsidRDefault="0086504F" w:rsidP="00AF4E0A">
            <w:pPr>
              <w:spacing w:after="0" w:line="240" w:lineRule="auto"/>
              <w:rPr>
                <w:rFonts w:eastAsia="Times New Roman" w:cs="Times New Roman"/>
                <w:color w:val="000000"/>
                <w:kern w:val="0"/>
                <w:sz w:val="24"/>
                <w:lang w:eastAsia="vi-VN"/>
              </w:rPr>
            </w:pPr>
          </w:p>
        </w:tc>
      </w:tr>
    </w:tbl>
    <w:p w:rsidR="003D4A69" w:rsidRDefault="0086504F" w:rsidP="003D4A69">
      <w:pPr>
        <w:spacing w:after="0" w:line="240" w:lineRule="auto"/>
        <w:jc w:val="center"/>
        <w:rPr>
          <w:rFonts w:cs="Times New Roman"/>
          <w:i/>
          <w:iCs/>
          <w:color w:val="000000" w:themeColor="text1"/>
        </w:rPr>
      </w:pPr>
      <w:r>
        <w:lastRenderedPageBreak/>
        <w:br w:type="page"/>
      </w:r>
      <w:r w:rsidR="003D4A69">
        <w:rPr>
          <w:rStyle w:val="Strong"/>
        </w:rPr>
        <w:lastRenderedPageBreak/>
        <w:t>PHỤ LỤC II</w:t>
      </w:r>
      <w:r w:rsidR="003D4A69">
        <w:br/>
      </w:r>
      <w:r w:rsidR="003D4A69">
        <w:rPr>
          <w:rStyle w:val="Strong"/>
        </w:rPr>
        <w:t>CÁC KIẾN NGHỊ ĐÃ XỬ LÝ, CẦN TIẾP TỤC ĐÔN ĐỐC, CHỈ ĐẠO</w:t>
      </w:r>
      <w:r w:rsidR="003D4A69">
        <w:br/>
      </w:r>
      <w:r w:rsidR="003D4A69">
        <w:rPr>
          <w:rStyle w:val="Emphasis"/>
        </w:rPr>
        <w:t>(37 nội dung thuộc 53 nhóm kiến nghị được tổng hợp trước Hội nghị Thường trực Chính phủ với cộng đồng                 doanh nghiệp ngày 18/7/2026)</w:t>
      </w:r>
    </w:p>
    <w:p w:rsidR="003D4A69" w:rsidRDefault="003D4A69" w:rsidP="003D4A69">
      <w:pPr>
        <w:spacing w:after="0" w:line="240" w:lineRule="auto"/>
        <w:jc w:val="center"/>
        <w:rPr>
          <w:rFonts w:cs="Times New Roman"/>
          <w:i/>
          <w:iCs/>
          <w:color w:val="000000" w:themeColor="text1"/>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3491865</wp:posOffset>
                </wp:positionH>
                <wp:positionV relativeFrom="paragraph">
                  <wp:posOffset>99694</wp:posOffset>
                </wp:positionV>
                <wp:extent cx="124777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74.95pt;margin-top:7.85pt;width:98.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17JQIAAEo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U4xkqR3&#10;I9pZTUTTWvSsNQyoBCldG0Gj1HdrUCZ3QaXcal8vPcmdegH63SAJZUtkwwPrt7NyUImPiN6F+I1R&#10;Lud++ALMnSEHC6F1p1r3HtI1BZ3ChM73CfGTRdR9TNJsNptNMKI3X0TyW6DSxn7m0CNvFNhc67gX&#10;kIQ05PhirKdF8luAzyphI7ouyKGTaCjwYpJOQoCBTjDv9MeMbvZlp9GReEGFJ9ToPI/HNBwkC2At&#10;J2x9tS0R3cV2yTvp8Vxhjs7VuijmxyJerOfreTbK0ul6lMVVNXrelNlouklmk+pTVZZV8tNTS7K8&#10;FYxx6dnd1Jtkf6eO6z266O6u33sbovfooV+O7O0dSIfJ+mFeZLEHdt7q28SdYMPh6+XyN+Jx7+zH&#10;X8DqFwAAAP//AwBQSwMEFAAGAAgAAAAhAINj9yLeAAAACQEAAA8AAABkcnMvZG93bnJldi54bWxM&#10;j8FOwzAMhu+TeIfIk7hMLN3UbrQ0nSYkDhzZJnHNGtOWNU7VpGvZ02PEAY72/+n353w32VZcsfeN&#10;IwWrZQQCqXSmoUrB6fjy8AjCB01Gt45QwRd62BV3s1xnxo30htdDqASXkM+0gjqELpPSlzVa7Zeu&#10;Q+Lsw/VWBx77Sppej1xuW7mOoo20uiG+UOsOn2ssL4fBKkA/JKton9rq9HobF+/r2+fYHZW6n0/7&#10;JxABp/AHw48+q0PBTmc3kPGiVZDEacooB8kWBAPbeBODOP8uZJHL/x8U3wAAAP//AwBQSwECLQAU&#10;AAYACAAAACEAtoM4kv4AAADhAQAAEwAAAAAAAAAAAAAAAAAAAAAAW0NvbnRlbnRfVHlwZXNdLnht&#10;bFBLAQItABQABgAIAAAAIQA4/SH/1gAAAJQBAAALAAAAAAAAAAAAAAAAAC8BAABfcmVscy8ucmVs&#10;c1BLAQItABQABgAIAAAAIQBXfj17JQIAAEoEAAAOAAAAAAAAAAAAAAAAAC4CAABkcnMvZTJvRG9j&#10;LnhtbFBLAQItABQABgAIAAAAIQCDY/ci3gAAAAkBAAAPAAAAAAAAAAAAAAAAAH8EAABkcnMvZG93&#10;bnJldi54bWxQSwUGAAAAAAQABADzAAAAigUAAAAA&#10;"/>
            </w:pict>
          </mc:Fallback>
        </mc:AlternateContent>
      </w:r>
    </w:p>
    <w:tbl>
      <w:tblPr>
        <w:tblW w:w="1516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686"/>
        <w:gridCol w:w="2070"/>
        <w:gridCol w:w="2623"/>
        <w:gridCol w:w="1559"/>
        <w:gridCol w:w="3968"/>
        <w:gridCol w:w="2551"/>
      </w:tblGrid>
      <w:tr w:rsidR="003D4A69" w:rsidTr="003D4A69">
        <w:trPr>
          <w:trHeight w:val="530"/>
          <w:tblHeader/>
        </w:trPr>
        <w:tc>
          <w:tcPr>
            <w:tcW w:w="70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D4A69" w:rsidRDefault="003D4A69">
            <w:pPr>
              <w:spacing w:after="0" w:line="240" w:lineRule="auto"/>
              <w:jc w:val="center"/>
              <w:rPr>
                <w:rFonts w:eastAsia="Times New Roman" w:cs="Times New Roman"/>
                <w:b/>
                <w:bCs/>
                <w:color w:val="000000"/>
                <w:kern w:val="0"/>
                <w:sz w:val="22"/>
                <w:lang w:eastAsia="vi-VN"/>
              </w:rPr>
            </w:pPr>
            <w:r>
              <w:rPr>
                <w:rFonts w:eastAsia="Times New Roman" w:cs="Times New Roman"/>
                <w:b/>
                <w:bCs/>
                <w:color w:val="000000"/>
                <w:kern w:val="0"/>
                <w:sz w:val="22"/>
                <w:szCs w:val="22"/>
                <w:lang w:eastAsia="vi-VN"/>
              </w:rPr>
              <w:t>STT</w:t>
            </w:r>
          </w:p>
        </w:tc>
        <w:tc>
          <w:tcPr>
            <w:tcW w:w="638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D4A69" w:rsidRDefault="003D4A69">
            <w:pPr>
              <w:spacing w:after="0" w:line="240" w:lineRule="auto"/>
              <w:jc w:val="center"/>
              <w:rPr>
                <w:rFonts w:eastAsia="Times New Roman" w:cs="Times New Roman"/>
                <w:b/>
                <w:bCs/>
                <w:color w:val="000000"/>
                <w:kern w:val="0"/>
                <w:sz w:val="24"/>
                <w:lang w:eastAsia="vi-VN"/>
              </w:rPr>
            </w:pPr>
            <w:r>
              <w:rPr>
                <w:rFonts w:eastAsia="Times New Roman" w:cs="Times New Roman"/>
                <w:b/>
                <w:bCs/>
                <w:color w:val="000000"/>
                <w:kern w:val="0"/>
                <w:sz w:val="24"/>
                <w:lang w:eastAsia="vi-VN"/>
              </w:rPr>
              <w:t xml:space="preserve">NỘI DUNG DOANH NGHIỆP, HIỆP HỘI PHẢN ÁNH, </w:t>
            </w:r>
            <w:r>
              <w:rPr>
                <w:rFonts w:eastAsia="Times New Roman" w:cs="Times New Roman"/>
                <w:b/>
                <w:bCs/>
                <w:color w:val="000000"/>
                <w:kern w:val="0"/>
                <w:sz w:val="24"/>
                <w:lang w:eastAsia="vi-VN"/>
              </w:rPr>
              <w:br/>
              <w:t>ĐỀ XUẤT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D4A69" w:rsidRDefault="003D4A69">
            <w:pPr>
              <w:spacing w:after="0" w:line="240" w:lineRule="auto"/>
              <w:jc w:val="center"/>
              <w:rPr>
                <w:rFonts w:eastAsia="Times New Roman" w:cs="Times New Roman"/>
                <w:b/>
                <w:bCs/>
                <w:color w:val="000000"/>
                <w:kern w:val="0"/>
                <w:sz w:val="24"/>
                <w:lang w:eastAsia="vi-VN"/>
              </w:rPr>
            </w:pPr>
            <w:r>
              <w:rPr>
                <w:rFonts w:eastAsia="Times New Roman" w:cs="Times New Roman"/>
                <w:b/>
                <w:bCs/>
                <w:color w:val="000000"/>
                <w:kern w:val="0"/>
                <w:sz w:val="24"/>
                <w:lang w:val="vi-VN" w:eastAsia="vi-VN"/>
              </w:rPr>
              <w:t>Bộ, ngành chịu trách nhiệm xử lý</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D4A69" w:rsidRDefault="003D4A69">
            <w:pPr>
              <w:spacing w:after="0" w:line="240" w:lineRule="auto"/>
              <w:jc w:val="center"/>
              <w:rPr>
                <w:rFonts w:eastAsia="Times New Roman" w:cs="Times New Roman"/>
                <w:b/>
                <w:bCs/>
                <w:kern w:val="0"/>
                <w:sz w:val="24"/>
                <w:lang w:eastAsia="vi-VN"/>
              </w:rPr>
            </w:pPr>
            <w:r>
              <w:rPr>
                <w:rFonts w:eastAsia="Times New Roman" w:cs="Times New Roman"/>
                <w:b/>
                <w:bCs/>
                <w:kern w:val="0"/>
                <w:sz w:val="24"/>
                <w:lang w:eastAsia="vi-VN"/>
              </w:rPr>
              <w:t xml:space="preserve">Tóm tắt tình hình, kết quả </w:t>
            </w:r>
            <w:r>
              <w:rPr>
                <w:rFonts w:eastAsia="Times New Roman" w:cs="Times New Roman"/>
                <w:b/>
                <w:bCs/>
                <w:kern w:val="0"/>
                <w:sz w:val="24"/>
                <w:lang w:eastAsia="vi-VN"/>
              </w:rPr>
              <w:br/>
              <w:t>xử lý (ngày 18/7/2026)</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D4A69" w:rsidRDefault="003D4A69">
            <w:pPr>
              <w:spacing w:before="360" w:after="0" w:line="240" w:lineRule="auto"/>
              <w:jc w:val="center"/>
              <w:rPr>
                <w:rFonts w:eastAsia="Times New Roman" w:cs="Times New Roman"/>
                <w:b/>
                <w:bCs/>
                <w:kern w:val="0"/>
                <w:sz w:val="24"/>
                <w:lang w:eastAsia="vi-VN"/>
              </w:rPr>
            </w:pPr>
            <w:r>
              <w:rPr>
                <w:rFonts w:eastAsia="Times New Roman" w:cs="Times New Roman"/>
                <w:b/>
                <w:bCs/>
                <w:kern w:val="0"/>
                <w:sz w:val="24"/>
                <w:lang w:eastAsia="vi-VN"/>
              </w:rPr>
              <w:t>Tình hình kết quả xử lý đến ngày 1</w:t>
            </w:r>
            <w:r>
              <w:rPr>
                <w:rFonts w:eastAsia="Times New Roman" w:cs="Times New Roman"/>
                <w:b/>
                <w:bCs/>
                <w:kern w:val="0"/>
                <w:sz w:val="24"/>
                <w:lang w:val="vi-VN" w:eastAsia="vi-VN"/>
              </w:rPr>
              <w:t>7</w:t>
            </w:r>
            <w:r>
              <w:rPr>
                <w:rFonts w:eastAsia="Times New Roman" w:cs="Times New Roman"/>
                <w:b/>
                <w:bCs/>
                <w:kern w:val="0"/>
                <w:sz w:val="24"/>
                <w:lang w:eastAsia="vi-VN"/>
              </w:rPr>
              <w:t>/8/2026</w:t>
            </w:r>
          </w:p>
        </w:tc>
      </w:tr>
      <w:tr w:rsidR="003D4A69" w:rsidTr="003D4A69">
        <w:trPr>
          <w:trHeight w:val="638"/>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left"/>
              <w:rPr>
                <w:rFonts w:eastAsia="Times New Roman" w:cs="Times New Roman"/>
                <w:b/>
                <w:bCs/>
                <w:color w:val="000000"/>
                <w:kern w:val="0"/>
                <w:sz w:val="22"/>
                <w:lang w:eastAsia="vi-VN"/>
              </w:rPr>
            </w:pPr>
          </w:p>
        </w:tc>
        <w:tc>
          <w:tcPr>
            <w:tcW w:w="16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D4A69" w:rsidRDefault="003D4A69">
            <w:pPr>
              <w:spacing w:after="0" w:line="240" w:lineRule="auto"/>
              <w:jc w:val="center"/>
              <w:rPr>
                <w:rFonts w:eastAsia="Times New Roman" w:cs="Times New Roman"/>
                <w:b/>
                <w:bCs/>
                <w:color w:val="000000"/>
                <w:spacing w:val="-8"/>
                <w:kern w:val="0"/>
                <w:sz w:val="24"/>
                <w:lang w:val="vi-VN" w:eastAsia="vi-VN"/>
              </w:rPr>
            </w:pPr>
            <w:r>
              <w:rPr>
                <w:rFonts w:eastAsia="Times New Roman" w:cs="Times New Roman"/>
                <w:b/>
                <w:bCs/>
                <w:color w:val="000000"/>
                <w:spacing w:val="-8"/>
                <w:kern w:val="0"/>
                <w:sz w:val="24"/>
                <w:lang w:eastAsia="vi-VN"/>
              </w:rPr>
              <w:t xml:space="preserve">Tên đơn vị phản ánh , kiến nghị </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D4A69" w:rsidRDefault="003D4A69">
            <w:pPr>
              <w:spacing w:after="0" w:line="240" w:lineRule="auto"/>
              <w:jc w:val="center"/>
              <w:rPr>
                <w:rFonts w:eastAsia="Times New Roman" w:cs="Times New Roman"/>
                <w:b/>
                <w:bCs/>
                <w:color w:val="000000"/>
                <w:kern w:val="0"/>
                <w:sz w:val="24"/>
                <w:lang w:eastAsia="vi-VN"/>
              </w:rPr>
            </w:pPr>
            <w:r>
              <w:rPr>
                <w:rFonts w:eastAsia="Times New Roman" w:cs="Times New Roman"/>
                <w:b/>
                <w:bCs/>
                <w:color w:val="000000"/>
                <w:kern w:val="0"/>
                <w:sz w:val="24"/>
                <w:lang w:val="vi-VN" w:eastAsia="vi-VN"/>
              </w:rPr>
              <w:t>Vấn đề</w:t>
            </w:r>
            <w:r>
              <w:rPr>
                <w:rFonts w:eastAsia="Times New Roman" w:cs="Times New Roman"/>
                <w:b/>
                <w:bCs/>
                <w:color w:val="000000"/>
                <w:kern w:val="0"/>
                <w:sz w:val="24"/>
                <w:lang w:eastAsia="vi-VN"/>
              </w:rPr>
              <w:t xml:space="preserve"> phản ánh</w:t>
            </w:r>
          </w:p>
        </w:tc>
        <w:tc>
          <w:tcPr>
            <w:tcW w:w="26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D4A69" w:rsidRDefault="003D4A69">
            <w:pPr>
              <w:spacing w:after="0" w:line="240" w:lineRule="auto"/>
              <w:jc w:val="center"/>
              <w:rPr>
                <w:rFonts w:eastAsia="Times New Roman" w:cs="Times New Roman"/>
                <w:b/>
                <w:bCs/>
                <w:color w:val="000000"/>
                <w:kern w:val="0"/>
                <w:sz w:val="24"/>
                <w:lang w:eastAsia="vi-VN"/>
              </w:rPr>
            </w:pPr>
            <w:r>
              <w:rPr>
                <w:rFonts w:eastAsia="Times New Roman" w:cs="Times New Roman"/>
                <w:b/>
                <w:bCs/>
                <w:color w:val="000000"/>
                <w:kern w:val="0"/>
                <w:sz w:val="24"/>
                <w:lang w:val="vi-VN" w:eastAsia="vi-VN"/>
              </w:rPr>
              <w:t xml:space="preserve">Giải pháp/Kiến nghị </w:t>
            </w:r>
            <w:r>
              <w:rPr>
                <w:rFonts w:eastAsia="Times New Roman" w:cs="Times New Roman"/>
                <w:b/>
                <w:bCs/>
                <w:color w:val="000000"/>
                <w:kern w:val="0"/>
                <w:sz w:val="24"/>
                <w:lang w:eastAsia="vi-VN"/>
              </w:rPr>
              <w:br/>
            </w:r>
            <w:r>
              <w:rPr>
                <w:rFonts w:eastAsia="Times New Roman" w:cs="Times New Roman"/>
                <w:b/>
                <w:bCs/>
                <w:color w:val="000000"/>
                <w:kern w:val="0"/>
                <w:sz w:val="24"/>
                <w:lang w:val="vi-VN" w:eastAsia="vi-VN"/>
              </w:rPr>
              <w:t>đề xuất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left"/>
              <w:rPr>
                <w:rFonts w:eastAsia="Times New Roman" w:cs="Times New Roman"/>
                <w:b/>
                <w:bCs/>
                <w:color w:val="000000"/>
                <w:kern w:val="0"/>
                <w:sz w:val="24"/>
                <w:lang w:eastAsia="vi-V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left"/>
              <w:rPr>
                <w:rFonts w:eastAsia="Times New Roman" w:cs="Times New Roman"/>
                <w:b/>
                <w:bCs/>
                <w:kern w:val="0"/>
                <w:sz w:val="24"/>
                <w:lang w:eastAsia="vi-VN"/>
              </w:rPr>
            </w:pPr>
          </w:p>
        </w:tc>
        <w:tc>
          <w:tcPr>
            <w:tcW w:w="2852" w:type="dxa"/>
            <w:vMerge/>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left"/>
              <w:rPr>
                <w:rFonts w:eastAsia="Times New Roman" w:cs="Times New Roman"/>
                <w:b/>
                <w:bCs/>
                <w:kern w:val="0"/>
                <w:sz w:val="24"/>
                <w:lang w:eastAsia="vi-VN"/>
              </w:rPr>
            </w:pPr>
          </w:p>
        </w:tc>
      </w:tr>
      <w:tr w:rsidR="003D4A69" w:rsidTr="003D4A69">
        <w:trPr>
          <w:trHeight w:val="314"/>
          <w:tblHead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left"/>
              <w:rPr>
                <w:rFonts w:eastAsia="Times New Roman" w:cs="Times New Roman"/>
                <w:b/>
                <w:bCs/>
                <w:color w:val="000000"/>
                <w:kern w:val="0"/>
                <w:sz w:val="22"/>
                <w:lang w:eastAsia="vi-VN"/>
              </w:rPr>
            </w:pPr>
          </w:p>
        </w:tc>
        <w:tc>
          <w:tcPr>
            <w:tcW w:w="1686" w:type="dxa"/>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center"/>
              <w:rPr>
                <w:rFonts w:eastAsia="Times New Roman" w:cs="Times New Roman"/>
                <w:b/>
                <w:i/>
                <w:color w:val="000000"/>
                <w:kern w:val="0"/>
                <w:sz w:val="24"/>
                <w:lang w:eastAsia="vi-VN"/>
              </w:rPr>
            </w:pPr>
            <w:r>
              <w:rPr>
                <w:rFonts w:eastAsia="Times New Roman" w:cs="Times New Roman"/>
                <w:b/>
                <w:i/>
                <w:color w:val="000000"/>
                <w:kern w:val="0"/>
                <w:sz w:val="24"/>
                <w:lang w:eastAsia="vi-VN"/>
              </w:rPr>
              <w:t>(1)</w:t>
            </w:r>
          </w:p>
        </w:tc>
        <w:tc>
          <w:tcPr>
            <w:tcW w:w="2070" w:type="dxa"/>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center"/>
              <w:rPr>
                <w:rFonts w:eastAsia="Times New Roman" w:cs="Times New Roman"/>
                <w:b/>
                <w:bCs/>
                <w:i/>
                <w:color w:val="000000"/>
                <w:kern w:val="0"/>
                <w:sz w:val="24"/>
                <w:lang w:eastAsia="vi-VN"/>
              </w:rPr>
            </w:pPr>
            <w:r>
              <w:rPr>
                <w:rFonts w:eastAsia="Times New Roman" w:cs="Times New Roman"/>
                <w:b/>
                <w:bCs/>
                <w:i/>
                <w:color w:val="000000"/>
                <w:kern w:val="0"/>
                <w:sz w:val="24"/>
                <w:lang w:eastAsia="vi-VN"/>
              </w:rPr>
              <w:t>(2)</w:t>
            </w:r>
          </w:p>
        </w:tc>
        <w:tc>
          <w:tcPr>
            <w:tcW w:w="2624" w:type="dxa"/>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center"/>
              <w:rPr>
                <w:rFonts w:eastAsia="Times New Roman" w:cs="Times New Roman"/>
                <w:b/>
                <w:i/>
                <w:color w:val="000000"/>
                <w:kern w:val="0"/>
                <w:sz w:val="24"/>
                <w:lang w:eastAsia="vi-VN"/>
              </w:rPr>
            </w:pPr>
            <w:r>
              <w:rPr>
                <w:rFonts w:eastAsia="Times New Roman" w:cs="Times New Roman"/>
                <w:b/>
                <w:i/>
                <w:color w:val="000000"/>
                <w:kern w:val="0"/>
                <w:sz w:val="24"/>
                <w:lang w:eastAsia="vi-VN"/>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center"/>
              <w:rPr>
                <w:rFonts w:eastAsia="Times New Roman" w:cs="Times New Roman"/>
                <w:b/>
                <w:i/>
                <w:color w:val="000000"/>
                <w:kern w:val="0"/>
                <w:sz w:val="24"/>
                <w:lang w:eastAsia="vi-VN"/>
              </w:rPr>
            </w:pPr>
            <w:r>
              <w:rPr>
                <w:rFonts w:eastAsia="Times New Roman" w:cs="Times New Roman"/>
                <w:b/>
                <w:i/>
                <w:color w:val="000000"/>
                <w:kern w:val="0"/>
                <w:sz w:val="24"/>
                <w:lang w:eastAsia="vi-VN"/>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center"/>
              <w:rPr>
                <w:rFonts w:eastAsia="Times New Roman" w:cs="Times New Roman"/>
                <w:b/>
                <w:i/>
                <w:color w:val="000000"/>
                <w:kern w:val="0"/>
                <w:sz w:val="24"/>
                <w:lang w:eastAsia="vi-VN"/>
              </w:rPr>
            </w:pPr>
            <w:r>
              <w:rPr>
                <w:rFonts w:eastAsia="Times New Roman" w:cs="Times New Roman"/>
                <w:b/>
                <w:i/>
                <w:color w:val="000000"/>
                <w:kern w:val="0"/>
                <w:sz w:val="24"/>
                <w:lang w:eastAsia="vi-VN"/>
              </w:rPr>
              <w:t>(5)</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b/>
                <w:i/>
                <w:color w:val="000000"/>
                <w:kern w:val="0"/>
                <w:sz w:val="24"/>
                <w:lang w:eastAsia="vi-VN"/>
              </w:rPr>
            </w:pPr>
            <w:r>
              <w:rPr>
                <w:rFonts w:eastAsia="Times New Roman" w:cs="Times New Roman"/>
                <w:b/>
                <w:i/>
                <w:color w:val="000000"/>
                <w:kern w:val="0"/>
                <w:sz w:val="24"/>
                <w:lang w:eastAsia="vi-VN"/>
              </w:rPr>
              <w:t>(6)</w:t>
            </w:r>
          </w:p>
        </w:tc>
      </w:tr>
      <w:tr w:rsidR="003D4A69" w:rsidTr="003D4A69">
        <w:trPr>
          <w:trHeight w:val="427"/>
        </w:trPr>
        <w:tc>
          <w:tcPr>
            <w:tcW w:w="15168" w:type="dxa"/>
            <w:gridSpan w:val="7"/>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b/>
                <w:color w:val="000000"/>
                <w:kern w:val="0"/>
                <w:sz w:val="24"/>
                <w:lang w:eastAsia="vi-VN"/>
              </w:rPr>
              <w:t>I. Các khó khăn, kiến nghị đã được quy định tại văn bản quy phạm pháp luật, được Bộ, ngành giải thích, hướng dẫn</w:t>
            </w:r>
          </w:p>
        </w:tc>
      </w:tr>
      <w:tr w:rsidR="003D4A69" w:rsidTr="003D4A69">
        <w:trPr>
          <w:trHeight w:val="862"/>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t>1</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Doanh nghiệp</w:t>
            </w:r>
          </w:p>
        </w:tc>
        <w:tc>
          <w:tcPr>
            <w:tcW w:w="2070"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val="vi-VN" w:eastAsia="vi-VN"/>
              </w:rPr>
              <w:t xml:space="preserve">Cơ quan thuế có </w:t>
            </w:r>
            <w:r>
              <w:rPr>
                <w:rFonts w:eastAsia="Times New Roman" w:cs="Times New Roman"/>
                <w:bCs/>
                <w:color w:val="000000"/>
                <w:kern w:val="0"/>
                <w:sz w:val="24"/>
                <w:lang w:val="vi-VN" w:eastAsia="vi-VN"/>
              </w:rPr>
              <w:t>Doanh nghiệp bị tước quyền hoàn thuế khi đối tác bỏ trốn dù giao dịch là có thật</w:t>
            </w:r>
            <w:r>
              <w:rPr>
                <w:rFonts w:eastAsia="Times New Roman" w:cs="Times New Roman"/>
                <w:color w:val="000000"/>
                <w:kern w:val="0"/>
                <w:sz w:val="24"/>
                <w:lang w:val="vi-VN" w:eastAsia="vi-VN"/>
              </w:rPr>
              <w:t>.</w:t>
            </w:r>
          </w:p>
          <w:p w:rsidR="003D4A69" w:rsidRDefault="003D4A69">
            <w:pPr>
              <w:spacing w:after="0" w:line="240" w:lineRule="auto"/>
              <w:rPr>
                <w:rFonts w:eastAsia="Times New Roman" w:cs="Times New Roman"/>
                <w:bCs/>
                <w:color w:val="000000"/>
                <w:kern w:val="0"/>
                <w:sz w:val="24"/>
                <w:lang w:eastAsia="vi-VN"/>
              </w:rPr>
            </w:pP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Cơ quan thuế có trách nhiệm phát hiện sớm và khóa mã số thuế đối với doanh nghiệp bỏ trốn; bảo vệ quyền hoàn thuế của bên mua khi chứng minh được giao dịch là có thật.</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Theo Bộ Tài chính, pháp luật về quản lý thuế không quy định người nộp thuế bị từ chối hoàn thuế chỉ vì bên bán bỏ địa chỉ kinh doanh sau khi giao dịch đã phát sinh. Trường hợp phát sinh rủi ro, cơ quan thuế thực hiện kiểm tra, xác minh, yêu cầu giải trình hoặc chuyển hồ sơ sang diện kiểm tra trước hoàn thuế sau để đánh giá đầy đủ hồ sơ, chứng từ, giao dịch thực tế và xác định số thuế đủ điều kiện hoàn theo quy định, đồng thời làm rõ dấu hiệu gian lận (nếu có). Bộ cũng cho biết hệ thống hóa đơn điện tử hiện nay đã được tích hợp các chức năng quản lý rủi ro, cảnh báo và ngăn chặn doanh nghiệp không còn hoạt động tại địa chỉ đăng ký phát hành hóa đơn, qua đó góp phần hạn chế các rủi ro phát sinh trong quá trình quản lý thuế.</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 xml:space="preserve">Bộ Tài chính (Cục Thuế) đã có công văn số 5591/CT-QLTT ngày 5/8/2026 gửi VCCI để  trả lời kiến nghị của doanh nghiệp. </w:t>
            </w:r>
          </w:p>
          <w:p w:rsidR="003D4A69" w:rsidRDefault="003D4A69">
            <w:pPr>
              <w:spacing w:after="0" w:line="240" w:lineRule="auto"/>
              <w:rPr>
                <w:rFonts w:eastAsia="Times New Roman" w:cs="Times New Roman"/>
                <w:kern w:val="0"/>
                <w:sz w:val="20"/>
                <w:szCs w:val="20"/>
                <w:lang w:eastAsia="vi-VN"/>
              </w:rPr>
            </w:pPr>
          </w:p>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kern w:val="0"/>
                <w:sz w:val="20"/>
                <w:szCs w:val="20"/>
                <w:lang w:eastAsia="vi-VN"/>
              </w:rPr>
              <w:t>Do thông tin tổng hợp của VCCI không có thông tin cụ thể của tên đơn vị phản ánh, kiến nghị, đo đó Bộ Tài chính gửi VCCI để tổng hợp, trả lời kiến nghị của đơn vị phản ánh.</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2</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Doanh nghiệp</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bCs/>
                <w:color w:val="000000"/>
                <w:kern w:val="0"/>
                <w:sz w:val="24"/>
                <w:lang w:val="vi-VN" w:eastAsia="vi-VN"/>
              </w:rPr>
              <w:t>Chậm hoàn thuế GTGT kéo dài và thuế đầu vào vãng lai lũy kế lớn</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Đẩy nhanh tiến độ hoàn thuế; thống nhất cách hiểu trong hướng dẫn; bổ sung cơ chế hoàn thuế cho doanh nghiệp xây dựng có thuế vãng lai; xử lý dứt điểm các hóa đơn có sai sót về thời điểm kê khai.</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phản ánh về việc chậm hoàn thuế GTGT, Bộ Tài chính cho biết pháp luật hiện hành đã quy định đầy đủ về trình tự, thủ tục và điều kiện hoàn thuế. Theo Bộ Tài chính, việc giải quyết hoàn thuế được thực hiện theo cơ chế phân loại hồ sơ; các trường hợp chậm giải quyết chủ yếu là hồ sơ có dấu hiệu rủi ro cần kiểm tra, xác minh để bảo đảm đúng quy định, không phản ánh tình trạng chung của công tác hoàn thuế. Đồng thời, ngành Thuế đang tiếp tục hoàn thiện quy trình hoàn thuế điện tử, đẩy mạnh ứng dụng công nghệ thông tin, quản lý rủi ro và tăng cường hỗ trợ doanh nghiệp nhằm rút ngắn thời gian giải quyết hồ sơ hoàn thuế. </w:t>
            </w:r>
          </w:p>
          <w:p w:rsidR="003D4A69" w:rsidRDefault="003D4A69">
            <w:pPr>
              <w:spacing w:after="0" w:line="240" w:lineRule="auto"/>
              <w:rPr>
                <w:rFonts w:eastAsia="Times New Roman" w:cs="Times New Roman"/>
                <w:color w:val="000000"/>
                <w:spacing w:val="-4"/>
                <w:kern w:val="0"/>
                <w:sz w:val="24"/>
                <w:lang w:eastAsia="vi-VN"/>
              </w:rPr>
            </w:pPr>
            <w:r>
              <w:rPr>
                <w:rFonts w:eastAsia="Times New Roman" w:cs="Times New Roman"/>
                <w:color w:val="000000"/>
                <w:spacing w:val="-4"/>
                <w:kern w:val="0"/>
                <w:sz w:val="24"/>
                <w:lang w:eastAsia="vi-VN"/>
              </w:rPr>
              <w:t xml:space="preserve">Đối với vướng mắc về phân bổ thuế GTGT đối với hoạt động xây dựng ngoại tỉnh, Bộ Tài chính cho biết kiến nghị của doanh nghiệp đã được tiếp thu và thể chế hóa tại Nghị định số 252/2026/NĐ-CP hướng dẫn Luật Quản lý thuế. Theo đó, quy định về phân bổ thuế GTGT đối với hoạt động xây dựng ngoại tỉnh chỉ được áp dụng đến hết </w:t>
            </w:r>
            <w:r>
              <w:rPr>
                <w:rFonts w:eastAsia="Times New Roman" w:cs="Times New Roman"/>
                <w:color w:val="000000"/>
                <w:spacing w:val="-4"/>
                <w:kern w:val="0"/>
                <w:sz w:val="24"/>
                <w:lang w:eastAsia="vi-VN"/>
              </w:rPr>
              <w:lastRenderedPageBreak/>
              <w:t>ngày 31/12/2026; từ năm 2027 sẽ không tiếp tục thực hiện cơ chế phân bổ này theo quy định của Luật Ngân sách nhà nước và các quy định mới về quản lý thuế, qua đó tháo gỡ vướng mắc về số thuế GTGT đầu vào vãng lai lũy kế mà doanh nghiệp phản ánh.</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lastRenderedPageBreak/>
              <w:t xml:space="preserve">Bộ Tài chính (Cục Thuế) đã có công văn số 5587/CT-NVT ngày 4/8/2026 gửi VCCI để  trả lời kiến nghị của doanh nghiệp. </w:t>
            </w:r>
          </w:p>
          <w:p w:rsidR="003D4A69" w:rsidRDefault="003D4A69">
            <w:pPr>
              <w:spacing w:after="0" w:line="240" w:lineRule="auto"/>
              <w:rPr>
                <w:rFonts w:eastAsia="Times New Roman" w:cs="Times New Roman"/>
                <w:kern w:val="0"/>
                <w:sz w:val="20"/>
                <w:szCs w:val="20"/>
                <w:lang w:eastAsia="vi-VN"/>
              </w:rPr>
            </w:pPr>
          </w:p>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Do thông tin tổng hợp của VCCI không có thông tin cụ thể của tên đơn vị phản ánh, kiến nghị, đo đó Bộ Tài chính gửi VCCI để tổng hợp, trả lời kiến nghị của đơn vị phản ánh.</w:t>
            </w:r>
          </w:p>
        </w:tc>
      </w:tr>
      <w:tr w:rsidR="003D4A69" w:rsidTr="003D4A69">
        <w:trPr>
          <w:trHeight w:val="579"/>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3</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Hiệp hội Doanh nghiệp Đài Loan tại Việt Nam (CTCVN)</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Rủi ro thuế thu nhập doanh nghiệp chồng trùng từ cách diễn giải bất cập đối với nguyên liệu do khách hàng cung cấp (FOC)</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Kiến nghị Bộ Tài chính ban hành văn bản hướng dẫn hành chính, tiêu chuẩn xác định thống nhất toàn quốc: công nhận bản chất không chuyển giao quyền sở hữu của nguyên liệu FOC trong hợp đồng gia công hợp pháp; không coi đây là thu nhập khác chịu thuế TNDN và không áp dụng cơ chế cộng gộp doanh thu ảo gây đánh thuế trùng.</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cách xác định thu nhập chịu thuế và áp dụng ưu đãi thuế thu nhập doanh nghiệp đối với nguyên liệu do khách hàng cung cấp (FOC), Bộ Tài chính cho biết pháp luật hiện hành đã có quy định cụ thể. Theo đó, Luật Thuế thu nhập doanh nghiệp năm 2025 và Nghị định số 320/2025/NĐ-CP đã quy định rõ doanh thu tính thuế đối với hoạt động gia công hàng hóa, phạm vi thu nhập khác và nguyên tắc áp dụng ưu đãi thuế thu nhập doanh nghiệp. Đối với hoạt động gia công, doanh thu tính thuế là khoản tiền thu từ hoạt động gia công theo quy định; đồng thời, chỉ các khoản thu nhập khác có liên quan đến hoạt động sản xuất, kinh doanh được ưu đãi mới thuộc diện áp dụng ưu đãi thuế. Bộ Tài chính cho rằng các quy định hiện hành </w:t>
            </w:r>
            <w:r>
              <w:rPr>
                <w:rFonts w:eastAsia="Times New Roman" w:cs="Times New Roman"/>
                <w:color w:val="000000"/>
                <w:kern w:val="0"/>
                <w:sz w:val="24"/>
                <w:lang w:eastAsia="vi-VN"/>
              </w:rPr>
              <w:lastRenderedPageBreak/>
              <w:t>đã xác định rõ căn cứ tính thuế và nguyên tắc áp dụng ưu đãi, qua đó làm rõ các vướng mắc doanh nghiệp phản ánh trong quá trình thực hiện.</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lastRenderedPageBreak/>
              <w:t xml:space="preserve">Bộ Tài chính (Cục Thuế) đã có công văn số 5587/CT-NVT ngày 4/8/2026 gửi VCCI để  trả lời kiến nghị của doanh nghiệp. </w:t>
            </w:r>
          </w:p>
          <w:p w:rsidR="003D4A69" w:rsidRDefault="003D4A69">
            <w:pPr>
              <w:spacing w:after="0" w:line="240" w:lineRule="auto"/>
              <w:rPr>
                <w:rFonts w:eastAsia="Times New Roman" w:cs="Times New Roman"/>
                <w:kern w:val="0"/>
                <w:sz w:val="20"/>
                <w:szCs w:val="20"/>
                <w:lang w:eastAsia="vi-VN"/>
              </w:rPr>
            </w:pPr>
          </w:p>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Do thông tin tổng hợp của VCCI không có thông tin cụ thể của tên đơn vị phản ánh, kiến nghị, đo đó Bộ Tài chính gửi VCCI để tổng hợp, trả lời kiến nghị của đơn vị phản ánh.</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4</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Doanh nghiệp</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Mức phạt chậm nộp cao và gắn nhãn vi phạm thuế do rủi ro khách quan</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Không tính tiền chậm nộp với doanh nghiệp không gian lận và chứng minh được mình là nạn nhân; phân biệt rõ lỗi cố ý gian lận và rủi ro khách quan; tuân thủ thời hiệu thanh tra theo quy định pháp luật.</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Đối với phản ánh về việc thanh tra, kiểm tra thuế sau thời gian dài, Bộ Tài chính cho biết pháp luật hiện hành đã có quy định rõ về hoạt động kiểm tra thuế. Theo đó, Luật Thanh tra năm 2025 và Luật Quản lý thuế năm 2025 quy định cơ quan thuế không còn thực hiện chức năng thanh tra chuyên ngành; đồng thời, pháp luật về quản lý thuế hiện hành không quy định thời hiệu đối với hoạt động k  iểm tra thuế, do đó không có cơ sở pháp lý đối với nhận định về việc cơ quan thuế thực hiện kiểm tra thuế quá thời hiệu. Bộ Tài chính cũng cho biết việc kiểm tra được thực hiện theo kế hoạch, chuyên đề đối với các doanh nghiệp nhiều năm chưa được kiểm tra nhằm bảo đảm hiệu quả công tác quản lý thuế.</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 xml:space="preserve">Bộ Tài chính (Cục Thuế) đã có công văn số 5571/CT-CS ngày 04/8/2026 gửi VCCI để  trả lời kiến nghị của doanh nghiệp. </w:t>
            </w:r>
          </w:p>
          <w:p w:rsidR="003D4A69" w:rsidRDefault="003D4A69">
            <w:pPr>
              <w:spacing w:after="0" w:line="240" w:lineRule="auto"/>
              <w:rPr>
                <w:rFonts w:eastAsia="Times New Roman" w:cs="Times New Roman"/>
                <w:kern w:val="0"/>
                <w:sz w:val="20"/>
                <w:szCs w:val="20"/>
                <w:lang w:eastAsia="vi-VN"/>
              </w:rPr>
            </w:pPr>
          </w:p>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Do thông tin tổng hợp của VCCI không có thông tin cụ thể của tên đơn vị phản ánh, kiến nghị, đo đó Bộ Tài chính gửi VCCI để tổng hợp, trả lời kiến nghị của đơn vị phản ánh.</w:t>
            </w:r>
            <w:r>
              <w:rPr>
                <w:rFonts w:eastAsia="Times New Roman" w:cs="Times New Roman"/>
                <w:kern w:val="0"/>
                <w:sz w:val="20"/>
                <w:szCs w:val="20"/>
                <w:lang w:val="vi-VN" w:eastAsia="vi-VN"/>
              </w:rPr>
              <w:t>.</w:t>
            </w:r>
          </w:p>
        </w:tc>
      </w:tr>
      <w:tr w:rsidR="003D4A69" w:rsidTr="003D4A69">
        <w:trPr>
          <w:trHeight w:val="451"/>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t>5</w:t>
            </w:r>
          </w:p>
        </w:tc>
        <w:tc>
          <w:tcPr>
            <w:tcW w:w="1686"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val="vi-VN" w:eastAsia="vi-VN"/>
              </w:rPr>
              <w:t>AusCham và KoCham</w:t>
            </w:r>
          </w:p>
          <w:p w:rsidR="003D4A69" w:rsidRDefault="003D4A69">
            <w:pPr>
              <w:spacing w:after="0" w:line="240" w:lineRule="auto"/>
              <w:rPr>
                <w:rFonts w:eastAsia="Times New Roman" w:cs="Times New Roman"/>
                <w:color w:val="000000"/>
                <w:kern w:val="0"/>
                <w:sz w:val="24"/>
                <w:lang w:eastAsia="vi-VN"/>
              </w:rPr>
            </w:pP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 xml:space="preserve">Vướng mắc về hậu kiểm, phân loại mã HS và thuế đối với hàng hải quan đặc </w:t>
            </w:r>
            <w:r>
              <w:rPr>
                <w:rFonts w:eastAsia="Times New Roman" w:cs="Times New Roman"/>
                <w:bCs/>
                <w:color w:val="000000"/>
                <w:kern w:val="0"/>
                <w:sz w:val="24"/>
                <w:lang w:val="vi-VN" w:eastAsia="vi-VN"/>
              </w:rPr>
              <w:lastRenderedPageBreak/>
              <w:t>thù</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lastRenderedPageBreak/>
              <w:t xml:space="preserve">Áp dụng hậu kiểm dựa trên mức độ rủi ro, ưu tiên tự kiểm tra với doanh nghiệp luồng </w:t>
            </w:r>
            <w:r>
              <w:rPr>
                <w:rFonts w:eastAsia="Times New Roman" w:cs="Times New Roman"/>
                <w:color w:val="000000"/>
                <w:kern w:val="0"/>
                <w:sz w:val="24"/>
                <w:lang w:val="vi-VN" w:eastAsia="vi-VN"/>
              </w:rPr>
              <w:lastRenderedPageBreak/>
              <w:t>xanh; công khai cơ sở dữ liệu xác định trước mã số; chấp nhận chứng nhận thử nghiệm của nhà máy (Mill Test Certificate) hoặc kết quả giám định bên thứ ba (SGS, Quatest) để thông quan nhanh; xác định nghĩa vụ thuế tạm nhập tái xuất theo giá trị dịch vụ sửa chữa thực tế.</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kiểm tra sau thông quan, phân loại mã số HS và thủ tục hải quan đối với hàng hóa xuất nhập khẩu, Bộ Tài chính cho biết pháp </w:t>
            </w:r>
            <w:r>
              <w:rPr>
                <w:rFonts w:eastAsia="Times New Roman" w:cs="Times New Roman"/>
                <w:color w:val="000000"/>
                <w:kern w:val="0"/>
                <w:sz w:val="24"/>
                <w:lang w:eastAsia="vi-VN"/>
              </w:rPr>
              <w:lastRenderedPageBreak/>
              <w:t xml:space="preserve">luật hải quan hiện hành đã có quy định cụ thể và đã làm rõ việc áp dụng đối với các nội dung doanh nghiệp phản ánh. Theo đó, kiểm tra sau thông quan được thực hiện trên cơ sở quản lý rủi ro, mức độ tuân thủ và dấu hiệu vi phạm theo quy định của Luật Hải quan, không chỉ tập trung vào việc kiểm tra mã số HS. Việc xác định mã số hàng hóa được thực hiện căn cứ vào hồ sơ, tài liệu kỹ thuật, kết quả giám định và các quy định về phân loại hàng hóa; việc điều chỉnh mã số chỉ được thực hiện khi có đầy đủ căn cứ pháp lý và kỹ thuật. Bộ Tài chính cũng cho biết pháp luật hiện hành đã cho phép doanh nghiệp chủ động khai bổ sung khi phát hiện sai sót trong thời hạn theo quy định trước khi cơ quan hải quan quyết định kiểm tra sau thông quan. </w:t>
            </w:r>
          </w:p>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phản ánh về việc hàng hóa bị lưu tại cảng và kiến nghị phân loại mã HS đối với hàng hóa nhập khẩu theo bộ hoặc theo set, Bộ Tài chính cho biết pháp luật hiện hành đã quy định cơ chế giải phóng hàng trong trường </w:t>
            </w:r>
            <w:r>
              <w:rPr>
                <w:rFonts w:eastAsia="Times New Roman" w:cs="Times New Roman"/>
                <w:color w:val="000000"/>
                <w:kern w:val="0"/>
                <w:sz w:val="24"/>
                <w:lang w:eastAsia="vi-VN"/>
              </w:rPr>
              <w:lastRenderedPageBreak/>
              <w:t>hợp chờ kết quả phân tích, giám định; đồng thời việc phân loại mã số phải căn cứ vào đặc điểm cụ thể của từng loại hàng hóa theo quy định của pháp luật. Đối với kiến nghị phân loại theo bộ hoặc theo set, Bộ cho biết chưa có đủ thông tin cụ thể về chủng loại hàng hóa để có cơ sở hướng dẫn việc áp dụng mã số phù hợp.</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lastRenderedPageBreak/>
              <w:t>Bộ Tài chính (Cục Hải quan) đã có công văn số 19830/CHQ-NVTHQ ngày 04/8/2026 trả lời kiến nghị của các Hiệp hội.</w:t>
            </w:r>
          </w:p>
        </w:tc>
      </w:tr>
      <w:tr w:rsidR="003D4A69" w:rsidTr="003D4A69">
        <w:trPr>
          <w:trHeight w:val="862"/>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6</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AusCham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Thời điểm lập hóa đơn chưa phù hợp với một số ngành dịch vụ</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Bổ sung ngành du lịch, lữ hành vào cơ chế lập hóa đơn theo đối soát thực tế; cho phép lập hóa đơn trong vòng bảy ngày sau khi kết thúc chương trình du lịch (tour); điều chỉnh linh hoạt và gia hạn thời hạn khai báo phí bản quyền theo chu kỳ kinh doanh của doanh nghiệp.</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thời điểm lập hóa đơn đối với một số loại hình dịch vụ, Bộ Tài chính cho biết pháp luật hiện hành đã có quy định cụ thể. Theo đó, khoản 2 Điều 9 Nghị định số 254/2026/NĐ-CP đã quy định thời điểm lập hóa đơn đối với hoạt động cung cấp dịch vụ và trường hợp thu tiền trước hoặc trong quá trình cung cấp dịch vụ; đồng thời quy định rõ khoản tiền đặt cọc theo quy định của Bộ luật Dân sự để bảo đảm thực hiện hợp đồng cung cấp dịch vụ không thuộc trường hợp phải lập hóa đơn tại thời điểm thu tiền. Bộ Tài chính cho biết vướng mắc của doanh nghiệp trong lĩnh vực dịch vụ lữ hành đã được quy định tại Nghị định số </w:t>
            </w:r>
            <w:r>
              <w:rPr>
                <w:rFonts w:eastAsia="Times New Roman" w:cs="Times New Roman"/>
                <w:color w:val="000000"/>
                <w:kern w:val="0"/>
                <w:sz w:val="24"/>
                <w:lang w:eastAsia="vi-VN"/>
              </w:rPr>
              <w:lastRenderedPageBreak/>
              <w:t>254/2026/NĐ-CP và đề nghị doanh nghiệp nghiên cứu, thực hiện theo đúng quy định của pháp luật hiện hành.</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lastRenderedPageBreak/>
              <w:t>Bộ Tài chính (Cục Thuế) đã có công văn 5406/CT-CS ngày 30/7/2026 trả lời AusCham</w:t>
            </w:r>
            <w:r>
              <w:rPr>
                <w:rFonts w:eastAsia="Times New Roman" w:cs="Times New Roman"/>
                <w:kern w:val="0"/>
                <w:sz w:val="20"/>
                <w:szCs w:val="20"/>
                <w:lang w:val="vi-VN" w:eastAsia="vi-VN"/>
              </w:rPr>
              <w:t>.</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7</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AusCham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Thuế GTGT đối với nghiên cứu khoa học, dịch vụ xuất khẩu và ưu đãi CSR</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Làm rõ tiêu chí và hồ sơ xác định bản chất "dịch vụ xuất khẩu" theo tổng thể đối tượng ký hợp đồng, nguồn thanh toán, đối tượng thụ hưởng; hướng dẫn cụ thể thuế GTGT cho nghiên cứu mang tính xã hội; cung cấp ví dụ thực tế cho khoản chi được trừ; hướng dẫn rõ ưu đãi CSR.</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chính sách thuế GTGT đối với dịch vụ xuất khẩu và các quy định về thuế thu nhập doanh nghiệp, Bộ Tài chính cho biết pháp luật hiện hành đã có quy định cụ thể. Theo đó, Luật Thuế giá trị gia tăng, Nghị định số 181/2025/NĐ-CP và Thông tư số 69/2025/TT-BTC đã quy định rõ đối tượng, điều kiện và hồ sơ áp dụng thuế suất GTGT 0% đối với dịch vụ hàng hải. Do vậy, kiến nghị doanh nghiệp căn cứ các quy định hiện hành để xác định việc áp dụng chính sách thuế và liên hệ cơ quan thuế quản lý trực tiếp để được hướng dẫn trên cơ sở hồ sơ, tình hình thực tế của doanh nghiệp. </w:t>
            </w:r>
          </w:p>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chính sách thuế thu nhập doanh nghiệp, Bộ Tài chính cho biết Luật Thuế thu nhập doanh nghiệp và các văn bản hướng dẫn đã quy định cụ thể về các khoản chi được trừ, không được trừ và chính sách ưu đãi thuế </w:t>
            </w:r>
            <w:r>
              <w:rPr>
                <w:rFonts w:eastAsia="Times New Roman" w:cs="Times New Roman"/>
                <w:color w:val="000000"/>
                <w:kern w:val="0"/>
                <w:sz w:val="24"/>
                <w:lang w:eastAsia="vi-VN"/>
              </w:rPr>
              <w:lastRenderedPageBreak/>
              <w:t>theo ngành, nghề và địa bàn ưu đãi. Do doanh nghiệp chưa nêu rõ tình huống phát sinh, Bộ chưa có cơ sở để hướng dẫn chi tiết và đề nghị doanh nghiệp thực hiện theo quy định của pháp luật hiện hành hoặc trao đổi với cơ quan thuế quản lý trực tiếp để được hướng dẫn cụ thể.</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lastRenderedPageBreak/>
              <w:t>Bộ Tài chính (Cục Quản lý, giám sát chính sách thuế, phí và lệ phí) đã có công văn 2192/CST-GTGT ngày 29/7/2026 trả lời AusCham.</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8</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eastAsia="vi-VN"/>
              </w:rPr>
              <w:t>Doanh nghiệp</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Vướng mắc thuế đối với đại lý bảo hiểm</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Cho phép doanh nghiệp bảo hiểm kê khai, khấu trừ, nộp thuế thay cho mọi mức thu nhập; không yêu cầu đại lý xuất hóa đơn điện tử với phần doanh thu đã nộp thuế thay; hướng dẫn rõ thuế suất và thời điểm ghi nhận doanh thu.</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chính sách thuế đối với hoạt động đại lý bảo hiểm, Bộ Tài chính cho biết pháp luật hiện hành đã có quy định cụ thể về xác định doanh thu và thời điểm ghi nhận doanh thu tính thuế. Theo đó, Nghị định số 68/2026/NĐ-CP đã quy định nguyên tắc xác định doanh thu đối với hộ, cá nhân kinh doanh, trong đó doanh thu từ hoạt động đại lý bán hàng đúng giá được xác định là khoản hoa hồng theo hợp đồng đại lý; đồng thời quy định thời điểm xác định doanh thu đối với hoạt động cung ứng dịch vụ. Bộ Tài chính cũng cho biết doanh nghiệp bảo hiểm thực hiện việc ghi nhận doanh thu theo quy định tại Thông tư số 67/2023/TT-BTC và đề nghị doanh nghiệp thực hiện theo các </w:t>
            </w:r>
            <w:r>
              <w:rPr>
                <w:rFonts w:eastAsia="Times New Roman" w:cs="Times New Roman"/>
                <w:color w:val="000000"/>
                <w:kern w:val="0"/>
                <w:sz w:val="24"/>
                <w:lang w:eastAsia="vi-VN"/>
              </w:rPr>
              <w:lastRenderedPageBreak/>
              <w:t>quy định của pháp luật về thuế đối với các nội dung liên quan đến thuế thu nhập cá nhân.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lastRenderedPageBreak/>
              <w:t>Bộ Tài chính (Cục Thuế) đã có công văn 5477/CT-CS ngày 03/8/2026 trả lời Hiệp hội bảo hiểm Việt Nam.</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9</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AusCham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Áp dụng Hiệp định tránh đánh thuế hai lần và cơ chế thuế nhà thầu, nền tảng số</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Sửa Thông tư 80 cho phép tự đánh giá, thay phê duyệt trước bằng hậu kiểm dựa trên rủi ro; chấp nhận tài liệu thay thế (điều khoản nền tảng, hồ sơ điện tử); xác nhận doanh thu chịu thuế nền tảng chỉ giới hạn ở phí dịch vụ; hướng dẫn rõ nguyên tắc giấy phép khai thác thị trường cho dịch vụ hàng không.</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Đối với kiến nghị về cơ chế thuế nhà thầu nước ngoài, Bộ Tài chính cho biết pháp luật hiện hành đã có quy định cụ thể về doanh thu tính thuế thu nhập doanh nghiệp của nhà thầu nước ngoài. Theo đó, Luật Thuế thu nhập doanh nghiệp năm 2025, Nghị định số 320/2025/NĐ-CP và Thông tư số 20/2026/TT-BTC đã quy định rõ nguyên tắc xác định doanh thu tính thuế, bao gồm toàn bộ doanh thu mà nhà thầu nước ngoài nhận được và các khoản chi phí do phía Việt Nam trả thay (nếu có). Bộ Tài chính đề nghị doanh nghiệp thực hiện theo các quy định của pháp luật hiện hành và liên hệ cơ quan thuế quản lý trực tiếp để được hướng dẫn trên cơ sở hồ sơ, tình hình thực tế của từng trường hợp.</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Bộ Tài chính (Cục Thuế) đã có công văn 5406/CT-CS ngày 30/7/2026 trả lời AusCham.</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10</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VBF, EuroCham, KoCham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Vướng mắc cấp phép, năng lượng tái tạo và Hợp đồng mua bán điện trực tiếp (DPPA)</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Ban hành hướng dẫn rõ ràng, thống nhất toàn quốc về cấp phép và thời hạn; làm rõ mô hình điện mặt trời mái nhà và cho thuê thiết bị; công bố hướng dẫn chi tiết DPPA gồm cấu phần chi phí, phương pháp định giá.</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Công Thương</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cấp phép hoạt động điện lực, phát triển năng lượng tái tạo và cơ chế mua bán điện trực tiếp (DPPA), Bộ Công Thương cho biết pháp luật hiện hành đã có quy định tương đối đầy đủ và đã làm rõ các nội dung doanh nghiệp phản ánh. Theo đó, trình tự, thủ tục cấp giấy phép hoạt động điện lực đã được quy định tại Nghị định số 61/2025/NĐ-CP và tiếp tục được đơn giản hóa theo các Nghị quyết của Chính phủ về cải cách thủ tục hành chính, phân cấp thẩm quyền và rút ngắn thời gian giải quyết hồ sơ. Đối với mô hình điện mặt trời mái nhà tự sản xuất, tự tiêu thụ, Luật Điện lực năm 2024 và Nghị định số 58/2025/NĐ-CP đã quy định rõ phạm vi điều chỉnh; các hình thức thuê thiết bị hoặc hợp tác đầu tư được thực hiện theo quy định của pháp luật về dân sự và đầu tư. </w:t>
            </w:r>
          </w:p>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cơ chế mua bán điện trực tiếp (DPPA), Bộ Công Thương cho biết các quy định hiện hành đã làm rõ cơ chế thực hiện. Theo đó, Nghị định số 57/2025/NĐ-CP và Nghị định số </w:t>
            </w:r>
            <w:r>
              <w:rPr>
                <w:rFonts w:eastAsia="Times New Roman" w:cs="Times New Roman"/>
                <w:color w:val="000000"/>
                <w:kern w:val="0"/>
                <w:sz w:val="24"/>
                <w:lang w:eastAsia="vi-VN"/>
              </w:rPr>
              <w:lastRenderedPageBreak/>
              <w:t>243/2026/NĐ-CP đã quy định cụ thể về các thành phần chi phí mà khách hàng sử dụng điện phải thanh toán, đồng thời quy định giá điện trong hợp đồng mua bán điện trực tiếp do các bên tự thỏa thuận, không áp dụng khung giá. Bộ Công Thương cho rằng các quy định hiện hành đã cơ bản giải quyết các nội dung doanh nghiệp kiến nghị liên quan đến cơ chế DPPA.</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ascii="TimesNewRomanPSMT" w:eastAsia="Times New Roman" w:hAnsi="TimesNewRomanPSMT" w:cs="Times New Roman"/>
                <w:kern w:val="0"/>
                <w:sz w:val="20"/>
                <w:szCs w:val="20"/>
              </w:rPr>
            </w:pPr>
            <w:r>
              <w:rPr>
                <w:rFonts w:ascii="TimesNewRomanPSMT" w:eastAsia="Times New Roman" w:hAnsi="TimesNewRomanPSMT" w:cs="Times New Roman"/>
                <w:kern w:val="0"/>
                <w:sz w:val="20"/>
                <w:szCs w:val="20"/>
              </w:rPr>
              <w:lastRenderedPageBreak/>
              <w:t xml:space="preserve">Bộ Công Thương đã có công văn số 6289/BCT-KHTC gửi Bộ Tài chính về các nội dung trả Hiệp hội. </w:t>
            </w:r>
          </w:p>
          <w:p w:rsidR="003D4A69" w:rsidRDefault="003D4A69">
            <w:pPr>
              <w:spacing w:after="0" w:line="240" w:lineRule="auto"/>
              <w:rPr>
                <w:rFonts w:ascii="TimesNewRomanPSMT" w:eastAsia="Times New Roman" w:hAnsi="TimesNewRomanPSMT" w:cs="Times New Roman"/>
                <w:i/>
                <w:color w:val="FF0000"/>
                <w:kern w:val="0"/>
                <w:sz w:val="20"/>
                <w:szCs w:val="20"/>
              </w:rPr>
            </w:pPr>
          </w:p>
          <w:p w:rsidR="003D4A69" w:rsidRDefault="003D4A69">
            <w:pPr>
              <w:spacing w:after="0" w:line="240" w:lineRule="auto"/>
              <w:rPr>
                <w:rFonts w:eastAsia="Times New Roman" w:cs="Times New Roman"/>
                <w:i/>
                <w:color w:val="FF0000"/>
                <w:kern w:val="0"/>
                <w:sz w:val="20"/>
                <w:szCs w:val="20"/>
                <w:lang w:eastAsia="vi-VN"/>
              </w:rPr>
            </w:pPr>
            <w:r>
              <w:rPr>
                <w:rFonts w:ascii="TimesNewRomanPSMT" w:eastAsia="Times New Roman" w:hAnsi="TimesNewRomanPSMT" w:cs="Times New Roman"/>
                <w:i/>
                <w:color w:val="FF0000"/>
                <w:kern w:val="0"/>
                <w:sz w:val="20"/>
                <w:szCs w:val="20"/>
              </w:rPr>
              <w:t>Tuy nhiên, Bộ Tài chính chưa nhận được công văn trả lời KoCham của Bộ Công Thương theo quy định.</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11</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Hiệp hội Doanh nghiệp châu Âu tại Việt Nam (EuroCham)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Nút thắt trong phê duyệt quy hoạch chi tiết tỷ lệ 1/2.000 và 1/500 lồng ghép điều chỉnh địa giới hành chính  (bổ sung)</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Kiến nghị ban hành văn bản hướng dẫn hành chính nhằm tinh gọn, đơn giản hóa tối đa quy trình phê duyệt các đồ án quy hoạch phân khu tỷ lệ 1/2.000; cho phép lồng ghép hoặc áp dụng cơ chế phê duyệt song song đối với các điều chỉnh cục bộ phát sinh do thay đổi địa giới hành chính; đồng thời nghiên cứu bãi bỏ yêu cầu lập quy hoạch chi tiết tỷ lệ 1/500 bắt buộc đối với các khu vực đã có quy </w:t>
            </w:r>
            <w:r>
              <w:rPr>
                <w:rFonts w:eastAsia="Times New Roman" w:cs="Times New Roman"/>
                <w:color w:val="000000"/>
                <w:kern w:val="0"/>
                <w:sz w:val="24"/>
                <w:lang w:val="vi-VN" w:eastAsia="vi-VN"/>
              </w:rPr>
              <w:lastRenderedPageBreak/>
              <w:t>hoạch phân khu tỷ lệ 1/2.000 chi tiết và rõ ràng về chỉ tiêu kỹ thuật.</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Xây dựng</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quy trình lập, điều chỉnh quy hoạch phân khu và quy hoạch chi tiết, Bộ Xây dựng và Bộ Tài chính cho biết pháp luật hiện hành đã có quy định và đã được sửa đổi theo hướng đơn giản hóa thủ tục. Theo đó, Luật Quy hoạch đô thị và nông thôn năm 2025 quy định việc điều chỉnh quy hoạch được thực hiện khi dự án đầu tư đã được cấp có thẩm quyền chấp thuận điều chỉnh chủ trương đầu tư và việc điều chỉnh làm ảnh hưởng đến sử dụng đất hoặc tổ chức không gian của khu đất dự án. Bộ Tài chính cũng cho biết việc lập mới hoặc điều chỉnh dự án đầu tư phải bảo đảm phù hợp với quy hoạch; trường hợp quy </w:t>
            </w:r>
            <w:r>
              <w:rPr>
                <w:rFonts w:eastAsia="Times New Roman" w:cs="Times New Roman"/>
                <w:color w:val="000000"/>
                <w:kern w:val="0"/>
                <w:sz w:val="24"/>
                <w:lang w:eastAsia="vi-VN"/>
              </w:rPr>
              <w:lastRenderedPageBreak/>
              <w:t xml:space="preserve">hoạch không còn phù hợp với thực tiễn thì được xem xét điều chỉnh theo quy định. </w:t>
            </w:r>
          </w:p>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Đồng thời, Bộ Tài chính cho biết Luật số 144/2025/QH15 đã sửa đổi, bổ sung quy trình lập, thẩm định và phê duyệt quy hoạch đô thị, nông thôn theo hướng cắt giảm thủ tục hành chính, rút gọn quy trình, đặc biệt đối với việc lập và điều chỉnh quy hoạch trong quá trình sắp xếp đơn vị hành chính, cho phép lập, điều chỉnh và phê duyệt quy hoạch phân khu đồng thời với quá trình lập hoặc điều chỉnh quy hoạch tỉnh, quy hoạch chung đô thị nhằm tạo thuận lợi hơn cho quá trình triển khai các dự án đầu tư.</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ascii="TimesNewRomanPSMT" w:eastAsia="Times New Roman" w:hAnsi="TimesNewRomanPSMT" w:cs="Times New Roman"/>
                <w:i/>
                <w:color w:val="FF0000"/>
                <w:kern w:val="0"/>
                <w:sz w:val="20"/>
                <w:szCs w:val="20"/>
              </w:rPr>
              <w:lastRenderedPageBreak/>
              <w:t>Hiện nay, Bộ Xây dựng chưa nhận được công văn trả lời Hiệp hội của Bộ Xây dựng.</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12</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Diễn đàn Doanh nghiệp Việt Nam VBF</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eastAsia="vi-VN"/>
              </w:rPr>
            </w:pPr>
            <w:r>
              <w:rPr>
                <w:rFonts w:eastAsia="Times New Roman" w:cs="Times New Roman"/>
                <w:bCs/>
                <w:color w:val="000000"/>
                <w:kern w:val="0"/>
                <w:sz w:val="24"/>
                <w:lang w:val="vi-VN" w:eastAsia="vi-VN"/>
              </w:rPr>
              <w:t>Vướng mắc về M&amp;A, kiểm soát tập trung kinh tế và tài khoản vốn đầu tư</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Làm rõ M&amp;A không yêu cầu chấp thuận khi tỷ lệ sở hữu và ngưỡng luật định không thay đổi; định nghĩa rõ "khu vực an ninh"; thu hẹp phạm vi kiểm soát tập trung, miễn trừ tái cơ cấu nội bộ; nghiên cứu bãi bỏ DICA, áp dụng một chế </w:t>
            </w:r>
            <w:r>
              <w:rPr>
                <w:rFonts w:eastAsia="Times New Roman" w:cs="Times New Roman"/>
                <w:color w:val="000000"/>
                <w:kern w:val="0"/>
                <w:sz w:val="24"/>
                <w:lang w:eastAsia="vi-VN"/>
              </w:rPr>
              <w:lastRenderedPageBreak/>
              <w:t>độ tài khoản thống nhất.</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Tài chính, Bộ Công Thương</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thủ tục mua bán, sáp nhập (M&amp;A) và quản lý tài khoản vốn đầu tư của nhà đầu tư nước ngoài, các cơ quan quản lý cho biết pháp luật hiện hành đã có quy định cụ thể. Theo đó, Bộ Tài chính cho biết các trường hợp nhà đầu tư nước ngoài phải thực hiện thủ tục đăng ký góp vốn, mua cổ phần, phần vốn góp đã được quy định tại Luật Đầu tư năm 2025; trường hợp </w:t>
            </w:r>
            <w:r>
              <w:rPr>
                <w:rFonts w:eastAsia="Times New Roman" w:cs="Times New Roman"/>
                <w:color w:val="000000"/>
                <w:kern w:val="0"/>
                <w:sz w:val="24"/>
                <w:lang w:eastAsia="vi-VN"/>
              </w:rPr>
              <w:lastRenderedPageBreak/>
              <w:t xml:space="preserve">chuyển nhượng giữa các nhà đầu tư nước ngoài có thay đổi về quốc tịch nhà đầu tư vẫn phải thực hiện việc rà soát điều kiện tiếp cận thị trường theo quy định. Ngân hàng Nhà nước cũng khẳng định quy định hiện hành đã phân định rõ đối tượng mở và sử dụng tài khoản vốn đầu tư trực tiếp (DICA) và tài khoản vốn đầu tư gián tiếp (IIA), đồng thời cho biết doanh nghiệp FDI không phải đồng thời mở và duy trì cả hai loại tài khoản như phản ánh của doanh nghiệp. </w:t>
            </w:r>
          </w:p>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Đối với kiến nghị về kiểm soát tập trung kinh tế, Bộ Công Thương cho biết đang sửa đổi, bổ sung Luật Cạnh tranh theo hướng tinh gọn, minh bạch hóa thủ tục thông báo tập trung kinh tế, giảm gánh nặng tuân thủ đối với các giao dịch tái cơ cấu hoặc các giao dịch ít có khả năng gây tác động hạn chế cạnh tranh. Đồng thời, việc nâng ngưỡng thông báo tập trung kinh tế theo Nghị quyết số 66.18/2026/NQ-CP được kỳ vọng sẽ làm giảm đáng kể số lượng giao dịch phải thực hiện thủ tục thông báo.</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ascii="TimesNewRomanPSMT" w:eastAsia="Times New Roman" w:hAnsi="TimesNewRomanPSMT" w:cs="Times New Roman"/>
                <w:i/>
                <w:color w:val="FF0000"/>
                <w:kern w:val="0"/>
                <w:sz w:val="20"/>
                <w:szCs w:val="20"/>
              </w:rPr>
              <w:lastRenderedPageBreak/>
              <w:t>Bộ Tài chính chưa nhận được công văn trả lời KoCham của Bộ Công Thương theo quy định.</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13</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Một số tổ chức tín dụng</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Khái niệm chưa rõ trong Luật các Tổ chức tín dụng 2024 và xử lý tài sản bảo đảm</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Ban hành hướng dẫn cụ thể các khái niệm; quy định rõ trách nhiệm phối hợp của công an và chính quyền địa phương; bổ sung đầy đủ thông tin trên mẫu Giấy phép thành lập.</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Ngân hàng Nhà nước Việt Nam</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Đối với kiến nghị về các khái niệm trong Luật Các tổ chức tín dụng năm 2024 và việc thu giữ tài sản bảo đảm, Ngân hàng Nhà nước cho biết pháp luật hiện hành đã có quy định cụ thể. Theo đó, các quy định về trường hợp tổ chức tín dụng được nắm giữ bất động sản để xử lý nợ và sử dụng bất động sản phục vụ trực tiếp hoạt động nghiệp vụ đã được quy định tại Điều 139 Luật Các tổ chức tín dụng năm 2024 và cơ bản kế thừa quy định của pháp luật trước đây. Đối với trách nhiệm phối hợp của Ủy ban nhân dân và Công an cấp xã trong quá trình thu giữ tài sản bảo đảm, Luật Các tổ chức tín dụng cũng đã quy định rõ trách nhiệm của các cơ quan liên quan; việc phối hợp thực hiện được triển khai theo quy định của pháp luật chuyên ngành và các quy chế phối hợp hiện hành. </w:t>
            </w:r>
          </w:p>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Đối với vướng mắc trong việc sang tên bất động sản do tổ chức tín dụng nắm giữ để xử lý nợ, Ngân hàng Nhà nước cho biết nguyên nhân chủ yếu xuất phát từ việc áp dụng chưa thống nhất </w:t>
            </w:r>
            <w:r>
              <w:rPr>
                <w:rFonts w:eastAsia="Times New Roman" w:cs="Times New Roman"/>
                <w:color w:val="000000"/>
                <w:kern w:val="0"/>
                <w:sz w:val="24"/>
                <w:lang w:val="vi-VN" w:eastAsia="vi-VN"/>
              </w:rPr>
              <w:lastRenderedPageBreak/>
              <w:t xml:space="preserve">tại các địa phương. Trong thời gian qua, Ngân hàng Nhà nước đã có văn bản trao đổi với các tổ chức tín dụng, cơ quan quản lý địa phương và Bộ Nông nghiệp và Môi trường để thống nhất cách thức thực hiện, đồng thời sẽ tiếp tục phối hợp với các cơ quan liên quan nhằm tháo gỡ các khó khăn, vướng mắc phát sinh. </w:t>
            </w:r>
          </w:p>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Đối với kiến nghị về việc bổ sung mã số thuế trên Giấy phép thành lập và hoạt động của tổ chức tín dụng, Ngân hàng Nhà nước cho biết việc cấp Giấy phép và đăng ký thuế được thực hiện theo các trình tự, thủ tục riêng theo quy định của pháp luật hiện hành. Sau khi được cấp Giấy phép thành lập và hoạt động, tổ chức tín dụng thực hiện thủ tục đăng ký thuế theo quy định để được cấp mã số thuế.</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kern w:val="0"/>
                <w:sz w:val="20"/>
                <w:szCs w:val="20"/>
                <w:lang w:eastAsia="vi-VN"/>
              </w:rPr>
            </w:pPr>
            <w:r>
              <w:rPr>
                <w:rFonts w:ascii="TimesNewRomanPSMT" w:eastAsia="Times New Roman" w:hAnsi="TimesNewRomanPSMT" w:cs="Times New Roman"/>
                <w:i/>
                <w:color w:val="FF0000"/>
                <w:kern w:val="0"/>
                <w:sz w:val="20"/>
                <w:szCs w:val="20"/>
              </w:rPr>
              <w:lastRenderedPageBreak/>
              <w:t>Hiện nay, Bộ Tài chính chưa nhận được công văn trả lời Hiệp hội của Ngân hàng Nhà nước Việt Nam.</w:t>
            </w:r>
          </w:p>
          <w:p w:rsidR="003D4A69" w:rsidRDefault="003D4A69">
            <w:pPr>
              <w:spacing w:after="0" w:line="240" w:lineRule="auto"/>
              <w:rPr>
                <w:rFonts w:eastAsia="Times New Roman" w:cs="Times New Roman"/>
                <w:kern w:val="0"/>
                <w:sz w:val="20"/>
                <w:szCs w:val="20"/>
                <w:lang w:eastAsia="vi-VN"/>
              </w:rPr>
            </w:pP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14</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AmCham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Cách tính mức tối đa phụ gia cho sản phẩm dạng bột cần pha loãng</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Bổ sung đầy đủ nguyên tắc tính toán mức tối đa theo Bảng 1, Bảng 2 của Codex, quy định rõ mức sử dụng tối đa được tính trên sản phẩm cuối cùng khi người tiêu dùng sử </w:t>
            </w:r>
            <w:r>
              <w:rPr>
                <w:rFonts w:eastAsia="Times New Roman" w:cs="Times New Roman"/>
                <w:color w:val="000000"/>
                <w:kern w:val="0"/>
                <w:sz w:val="24"/>
                <w:lang w:val="vi-VN" w:eastAsia="vi-VN"/>
              </w:rPr>
              <w:lastRenderedPageBreak/>
              <w:t>dụng (as consumed).</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Y tế</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cách xác định mức tối đa sử dụng phụ gia thực phẩm đối với sản phẩm dạng bột, Bộ Y tế cho biết pháp luật hiện hành đã có quy định và cập nhật theo các tiêu chuẩn Codex. Theo đó, Thông tư số 17/2023/TT-BYT cho phép việc sử </w:t>
            </w:r>
            <w:r>
              <w:rPr>
                <w:rFonts w:eastAsia="Times New Roman" w:cs="Times New Roman"/>
                <w:color w:val="000000"/>
                <w:kern w:val="0"/>
                <w:sz w:val="24"/>
                <w:lang w:eastAsia="vi-VN"/>
              </w:rPr>
              <w:lastRenderedPageBreak/>
              <w:t>dụng phụ gia thực phẩm được cập nhật tự động theo phiên bản mới nhất của Codex. Bộ Y tế cho biết Tiêu chuẩn Codex 192 đã quy định cụ thể mức sử dụng tối đa của từng phụ gia đối với từng nhóm thực phẩm và cách áp dụng đối với các trường hợp đặc thù, do đó không cần bổ sung thêm nguyên tắc tính mức tối đa như kiến nghị của doanh nghiệp. Bộ Y tế đề nghị doanh nghiệp nghiên cứu, áp dụng các quy định hiện hành và các nội dung cập nhật của Codex để thực hiện đúng quy định.</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ascii="TimesNewRomanPSMT" w:eastAsia="Times New Roman" w:hAnsi="TimesNewRomanPSMT" w:cs="Times New Roman"/>
                <w:i/>
                <w:color w:val="FF0000"/>
                <w:kern w:val="0"/>
                <w:sz w:val="20"/>
                <w:szCs w:val="20"/>
              </w:rPr>
              <w:lastRenderedPageBreak/>
              <w:t>Hiện nay, Bộ Tài chính chưa nhận được công văn trả lời Hiệp hội của Bộ Y tế.</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15</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AmCham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eastAsia="vi-VN"/>
              </w:rPr>
            </w:pPr>
            <w:r>
              <w:rPr>
                <w:rFonts w:eastAsia="Times New Roman" w:cs="Times New Roman"/>
                <w:bCs/>
                <w:color w:val="000000"/>
                <w:kern w:val="0"/>
                <w:sz w:val="24"/>
                <w:lang w:eastAsia="vi-VN"/>
              </w:rPr>
              <w:t>Vướng mắc đăng ký thực phẩm dinh dưỡng y học và thực phẩm cho chế độ ăn đặc biệt (FSMP)</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Sửa điểm e Điều 4 Thông tư 43/2014 theo hướng chỉ yêu cầu sản phẩm đã được nước xuất xứ/xuất khẩu cho phép lưu hành; làm rõ Mục 1.1.4 cho phép điều chỉnh vượt khoảng min–max hoặc bổ sung/loại trừ thành phần khi có cơ sở khoa học, tài liệu lâm sàng và ghi nhãn rõ đối tượng sử dụng; ban hành </w:t>
            </w:r>
            <w:r>
              <w:rPr>
                <w:rFonts w:eastAsia="Times New Roman" w:cs="Times New Roman"/>
                <w:color w:val="000000"/>
                <w:kern w:val="0"/>
                <w:sz w:val="24"/>
                <w:lang w:eastAsia="vi-VN"/>
              </w:rPr>
              <w:lastRenderedPageBreak/>
              <w:t>guideline chi tiết kèm ví dụ, hài hòa với Codex CXS 72.</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Y tế</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đăng ký thực phẩm dinh dưỡng y học và thực phẩm dùng cho chế độ ăn đặc biệt, Bộ Y tế cho biết pháp luật hiện hành đã có quy định cụ thể. Theo đó, Bộ Y tế khẳng định quy định tại Thông tư số 43/2014/TT-BYT không yêu cầu cơ quan có thẩm quyền của nước xuất xứ xác nhận trực tiếp nội dung trên nhãn tiếng Việt như cách hiểu của doanh nghiệp. Đồng thời, đối với sản phẩm dinh dưỡng công thức với mục đích y tế đặc biệt dành cho trẻ đến 12 tháng </w:t>
            </w:r>
            <w:r>
              <w:rPr>
                <w:rFonts w:eastAsia="Times New Roman" w:cs="Times New Roman"/>
                <w:color w:val="000000"/>
                <w:kern w:val="0"/>
                <w:sz w:val="24"/>
                <w:lang w:eastAsia="vi-VN"/>
              </w:rPr>
              <w:lastRenderedPageBreak/>
              <w:t>tuổi, Quy chuẩn kỹ thuật quốc gia QCVN 11-2:2012/BYT đã quy định nguyên tắc về yêu cầu năng lượng, thành phần dinh dưỡng và cho phép điều chỉnh thành phần nhằm đáp ứng các nhu cầu dinh dưỡng đặc biệt trong một số trường hợp theo quy định. Bộ Y tế cho rằng các quy định hiện hành đã làm rõ cơ sở áp dụng đối với các nội dung doanh nghiệp kiến nghị.</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ascii="TimesNewRomanPSMT" w:eastAsia="Times New Roman" w:hAnsi="TimesNewRomanPSMT" w:cs="Times New Roman"/>
                <w:i/>
                <w:color w:val="FF0000"/>
                <w:kern w:val="0"/>
                <w:sz w:val="20"/>
                <w:szCs w:val="20"/>
              </w:rPr>
              <w:lastRenderedPageBreak/>
              <w:t>Hiện nay, Bộ Tài chính chưa nhận được công văn trả lời Hiệp hội của Bộ Y tế.</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16</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AmCham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eastAsia="vi-VN"/>
              </w:rPr>
            </w:pPr>
            <w:r>
              <w:rPr>
                <w:rFonts w:eastAsia="Times New Roman" w:cs="Times New Roman"/>
                <w:bCs/>
                <w:color w:val="000000"/>
                <w:kern w:val="0"/>
                <w:sz w:val="24"/>
                <w:lang w:eastAsia="vi-VN"/>
              </w:rPr>
              <w:t>Bản chất pháp lý của ghi nhãn dinh dưỡng và ngưỡng dung sai giá trị dinh dưỡng</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(i) Làm rõ thông tin dinh dưỡng trên nhãn là thông tin tham khảo, không phải chỉ tiêu chất lượng/an toàn; (ii) Xây dựng ngưỡng dung sai phù hợp bản chất khoa học và thông lệ quốc tế; (iii) Ban hành hướng dẫn thống nhất toàn quốc về phương pháp đánh giá sự phù hợp; (iv) Tách bạch vi phạm thông tin dinh dưỡng với hành vi sản xuất, kinh doanh hàng giả; (v) Cho lộ trình chuyển tiếp để </w:t>
            </w:r>
            <w:r>
              <w:rPr>
                <w:rFonts w:eastAsia="Times New Roman" w:cs="Times New Roman"/>
                <w:color w:val="000000"/>
                <w:kern w:val="0"/>
                <w:sz w:val="24"/>
                <w:lang w:eastAsia="vi-VN"/>
              </w:rPr>
              <w:lastRenderedPageBreak/>
              <w:t>điều chỉnh bao bì và dùng hết vật tư tồn kho.</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Y tế, Bộ Khoa học và Công nghệ</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ghi nhãn dinh dưỡng, Bộ Y tế cho biết pháp luật hiện hành đã có quy định về nguyên tắc, nội dung, cách ghi và giá trị khoảng dung sai của thông tin dinh dưỡng trên nhãn thực phẩm. Theo đó, Thông tư số 29/2023/TT-BYT và các văn bản có liên quan đã quy định cụ thể việc ghi thành phần, giá trị dinh dưỡng và nguyên tắc áp dụng khoảng dung sai; Bộ Y tế đề nghị doanh nghiệp nghiên cứu và thực hiện theo đúng quy định hiện hành. </w:t>
            </w:r>
          </w:p>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các kiến nghị về việc làm rõ bản chất pháp lý của thông tin dinh dưỡng, phương pháp xác định ngưỡng dung sai, đánh giá sự phù hợp và </w:t>
            </w:r>
            <w:r>
              <w:rPr>
                <w:rFonts w:eastAsia="Times New Roman" w:cs="Times New Roman"/>
                <w:color w:val="000000"/>
                <w:kern w:val="0"/>
                <w:sz w:val="24"/>
                <w:lang w:eastAsia="vi-VN"/>
              </w:rPr>
              <w:lastRenderedPageBreak/>
              <w:t>hướng dẫn áp dụng thống nhất, Bộ Khoa học và Công nghệ cho biết đã ghi nhận ý kiến của cộng đồng doanh nghiệp và sẽ phối hợp với Bộ Y tế cùng các cơ quan liên quan nghiên cứu, tiếp thu trong quá trình xây dựng, sửa đổi, bổ sung các văn bản quy phạm pháp luật, tiêu chuẩn, quy chuẩn kỹ thuật và hướng dẫn thực hiện nhằm bảo đảm phù hợp với cơ sở khoa học, thông lệ quốc tế và thống nhất trong quá trình áp dụng.</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ascii="TimesNewRomanPSMT" w:eastAsia="Times New Roman" w:hAnsi="TimesNewRomanPSMT" w:cs="Times New Roman"/>
                <w:i/>
                <w:color w:val="FF0000"/>
                <w:kern w:val="0"/>
                <w:sz w:val="20"/>
                <w:szCs w:val="20"/>
              </w:rPr>
              <w:lastRenderedPageBreak/>
              <w:t>Hiện nay, Bộ Tài chính chưa nhận được công văn trả lời Hiệp hội của Bộ Y tế.</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17</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Doanh nghiệp</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eastAsia="vi-VN"/>
              </w:rPr>
            </w:pPr>
            <w:r>
              <w:rPr>
                <w:rFonts w:eastAsia="Times New Roman" w:cs="Times New Roman"/>
                <w:bCs/>
                <w:color w:val="000000"/>
                <w:kern w:val="0"/>
                <w:sz w:val="24"/>
                <w:lang w:eastAsia="vi-VN"/>
              </w:rPr>
              <w:t>Thiếu cơ chế chấp nhận rủi ro trong nghiên cứu và thương mại hóa kết quả</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Quy định cụ thể cơ chế loại trừ trách nhiệm dân sự, hành chính, kỷ luật, hình sự cho tổ chức, cá nhân thực hiện nhiệm vụ nghiên cứu, sản xuất, kinh doanh sản phẩm công nghệ chiến lược nếu tuân thủ đúng quy trình; cho phép đàm phán trực tiếp với sản phẩm trí tuệ; thiết lập sàn giao dịch tài sản trí tuệ quốc gia.</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Khoa học và Công nghệ phối hợp 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cơ chế chấp nhận rủi ro trong nghiên cứu, phát triển và thương mại hóa kết quả khoa học, công nghệ, Bộ Tài chính và Bộ Khoa học và Công nghệ cho biết pháp luật hiện hành đã có quy định. Theo đó, Luật Khoa học, công nghệ và đổi mới sáng tạo năm 2025 và Nghị định số 267/2025/NĐ-CP đã quy định cơ chế chấp nhận rủi ro có kiểm soát, loại trừ hoặc miễn trách nhiệm đối với tổ chức, cá nhân thực hiện nhiệm vụ khoa học, công nghệ và đổi mới sáng tạo khi tuân thủ đầy đủ quy định; đồng thời thiết lập cơ chế thử nghiệm có </w:t>
            </w:r>
            <w:r>
              <w:rPr>
                <w:rFonts w:eastAsia="Times New Roman" w:cs="Times New Roman"/>
                <w:color w:val="000000"/>
                <w:kern w:val="0"/>
                <w:sz w:val="24"/>
                <w:lang w:eastAsia="vi-VN"/>
              </w:rPr>
              <w:lastRenderedPageBreak/>
              <w:t xml:space="preserve">kiểm soát (sandbox) đối với một số công nghệ, mô hình và sản phẩm mới. Đối với hoạt động mua sắm, pháp luật về đấu thầu cũng đã có quy định cho phép áp dụng các hình thức lựa chọn nhà thầu phù hợp đối với một số sản phẩm là kết quả nghiên cứu khoa học, công nghệ và đổi mới sáng tạo hoặc sản phẩm công nghệ chiến lược. </w:t>
            </w:r>
          </w:p>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Đối với kiến nghị về thương mại hóa tài sản trí tuệ, Bộ Khoa học và Công nghệ cho biết pháp luật hiện hành đã quy định cơ chế khai thác, chuyển giao quyền sở hữu trí tuệ và hiện đã có Sàn giao dịch khoa học và công nghệ tích hợp giao dịch các đối tượng quyền sở hữu trí tuệ. Bộ đồng thời đề nghị các tổ chức nghiên cứu nâng cao chất lượng kết quả nghiên cứu và gắn kết hơn với nhu cầu của thị trường nhằm thúc đẩy hoạt động thương mại hóa.</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 xml:space="preserve">Bộ Khoa học và Công nghệ đã có công văn số 5848/BKHCN-VP ngày 05/8/2026 gửi VCCI, trong đó có nội dung trả lời kiến nghỉ để gửi doanh nghiệp. </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18</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Hiệp hội Gỗ và Lâm sản</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eastAsia="vi-VN"/>
              </w:rPr>
            </w:pPr>
            <w:r>
              <w:rPr>
                <w:rFonts w:eastAsia="Times New Roman" w:cs="Times New Roman"/>
                <w:bCs/>
                <w:color w:val="000000"/>
                <w:kern w:val="0"/>
                <w:sz w:val="24"/>
                <w:lang w:eastAsia="vi-VN"/>
              </w:rPr>
              <w:t>Thuế xuất khẩu đối với gỗ xẻ, viên nén và gỗ lạng từ gỗ tròn nhập khẩu</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Bỏ thuế xuất khẩu gỗ xẻ sản xuất từ gỗ tròn nhập khẩu; bỏ thuế xuất khẩu viên than ép, viên nén đen và gỗ lạng; lùi thời gian thực hiện quy định </w:t>
            </w:r>
            <w:r>
              <w:rPr>
                <w:rFonts w:eastAsia="Times New Roman" w:cs="Times New Roman"/>
                <w:color w:val="000000"/>
                <w:kern w:val="0"/>
                <w:sz w:val="24"/>
                <w:lang w:eastAsia="vi-VN"/>
              </w:rPr>
              <w:lastRenderedPageBreak/>
              <w:t>thanh toán không dùng tiền mặt trong thu mua gỗ rừng trồng đến cuối năm 2027.</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thuế xuất khẩu đối với gỗ xẻ, gỗ lạng và viên nén, Bộ Tài chính cho biết các mức thuế suất hiện hành đã được quy định tại Nghị định số 26/2023/NĐ-CP và được xây dựng trên cơ sở chủ trương quản lý, sử </w:t>
            </w:r>
            <w:r>
              <w:rPr>
                <w:rFonts w:eastAsia="Times New Roman" w:cs="Times New Roman"/>
                <w:color w:val="000000"/>
                <w:kern w:val="0"/>
                <w:sz w:val="24"/>
                <w:lang w:eastAsia="vi-VN"/>
              </w:rPr>
              <w:lastRenderedPageBreak/>
              <w:t xml:space="preserve">dụng hiệu quả tài nguyên, khuyến khích chế biến sâu, phát triển sản xuất bền vững và phù hợp với khung thuế suất của Luật Thuế xuất khẩu, thuế nhập khẩu. </w:t>
            </w:r>
          </w:p>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Đối với mặt hàng than củi (loại khác), Bộ Tài chính cho biết mức thuế suất 5% hiện đang ở mức sàn theo quy định của Luật, không còn dư địa để tiếp tục giảm. Đối với kiến nghị miễn thuế xuất khẩu đối với gỗ xẻ được sản xuất từ gỗ tròn nhập khẩu, Bộ Tài chính cho biết sẽ tổng hợp kiến nghị của Hiệp hội Gỗ và Lâm sản để nghiên cứu, báo cáo cấp có thẩm quyền xem xét trong quá trình sửa đổi Luật Thuế xuất khẩu, thuế nhập khẩu.</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lastRenderedPageBreak/>
              <w:t xml:space="preserve">Ngày 31/7/2026, Bộ Tài chính (Cục Quản lý, giám sát chính sách thuế, phí và lệ phí)  đã có công văn 2232/CST-NXKtrả lời Hiệp hội. </w:t>
            </w:r>
          </w:p>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 xml:space="preserve">Trước đó, Cục CST đã có </w:t>
            </w:r>
            <w:r>
              <w:rPr>
                <w:rFonts w:eastAsia="Times New Roman" w:cs="Times New Roman"/>
                <w:kern w:val="0"/>
                <w:sz w:val="20"/>
                <w:szCs w:val="20"/>
                <w:lang w:eastAsia="vi-VN"/>
              </w:rPr>
              <w:lastRenderedPageBreak/>
              <w:t>công văn số 404/CST-TN ngày 26/2/2026, công văn số 902/CST-TN ngày 13/4/2026, công văn số 1548/CST-GTGT ngày 04/6/2026 trả lời Hiệp hội Gỗ và Lâm sản Việt Nam.</w:t>
            </w:r>
            <w:r>
              <w:rPr>
                <w:rFonts w:eastAsia="Times New Roman" w:cs="Times New Roman"/>
                <w:kern w:val="0"/>
                <w:sz w:val="20"/>
                <w:szCs w:val="20"/>
                <w:lang w:val="vi-VN" w:eastAsia="vi-VN"/>
              </w:rPr>
              <w:t>.</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19</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Canon Việt Nam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eastAsia="vi-VN"/>
              </w:rPr>
            </w:pPr>
            <w:r>
              <w:rPr>
                <w:rFonts w:eastAsia="Times New Roman" w:cs="Times New Roman"/>
                <w:bCs/>
                <w:color w:val="000000"/>
                <w:kern w:val="0"/>
                <w:sz w:val="24"/>
                <w:lang w:eastAsia="vi-VN"/>
              </w:rPr>
              <w:t>Vướng mắc thuế và thủ tục đặc thù của doanh nghiệp chế xuất</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Sửa Luật Quản lý ngoại thương để hàng luân chuyển nội bộ giữa các chi nhánh trong cùng doanh nghiệp không áp dụng biện pháp quản lý chuyên ngành; bổ sung trường hợp loại trừ khai hải quan với luân chuyển nội bộ doanh </w:t>
            </w:r>
            <w:r>
              <w:rPr>
                <w:rFonts w:eastAsia="Times New Roman" w:cs="Times New Roman"/>
                <w:color w:val="000000"/>
                <w:kern w:val="0"/>
                <w:sz w:val="24"/>
                <w:lang w:eastAsia="vi-VN"/>
              </w:rPr>
              <w:lastRenderedPageBreak/>
              <w:t>nghiệp chế xuất; sửa Điều 9 Luật Thuế GTGT hoặc ban hành hướng dẫn áp thuế suất 0% với hàng hóa, dịch vụ phục vụ sản xuất xuất khẩu của doanh nghiệp chế xuất.</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Công Thương, 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chính sách thuế GTGT và thủ tục hải quan đối với doanh nghiệp chế xuất, Bộ Tài chính cho biết pháp luật hiện hành đã có quy định cụ thể. Theo đó, Luật Thuế giá trị gia tăng năm 2024 đã quy định hàng hóa, dịch vụ cung cấp cho doanh nghiệp chế xuất và được tiêu dùng trực tiếp phục vụ hoạt động sản xuất xuất khẩu thuộc đối tượng áp dụng </w:t>
            </w:r>
            <w:r>
              <w:rPr>
                <w:rFonts w:eastAsia="Times New Roman" w:cs="Times New Roman"/>
                <w:color w:val="000000"/>
                <w:kern w:val="0"/>
                <w:sz w:val="24"/>
                <w:lang w:eastAsia="vi-VN"/>
              </w:rPr>
              <w:lastRenderedPageBreak/>
              <w:t xml:space="preserve">thuế suất GTGT 0%. Đồng thời, Nghị định số 35/2022/NĐ-CP cũng quy định cụ thể về quan hệ trao đổi hàng hóa giữa doanh nghiệp chế xuất với khu vực nội địa, các trường hợp không phải thực hiện thủ tục hải quan và việc bán, thanh lý tài sản đã qua sử dụng vào thị trường nội địa. Bộ Tài chính đề nghị doanh nghiệp thực hiện theo quy định hiện hành và liên hệ cơ quan thuế, cơ quan hải quan để được hướng dẫn đối với từng trường hợp cụ thể. </w:t>
            </w:r>
          </w:p>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một số kiến nghị liên quan đến quản lý ngoại thương đối với hàng hóa của doanh nghiệp chế xuất, Bộ Công Thương cho biết đang nghiên cứu sửa đổi Luật Quản lý ngoại thương theo hướng đơn giản hóa các biện pháp quản lý đối với hàng hóa có nguồn gốc nhập khẩu đưa vào khu vực hải quan riêng, sau đó bán, thanh lý hoặc đưa vào nội địa để sử dụng cho mục đích khác; đồng thời tiếp tục duy trì nguyên tắc không áp dụng biện pháp quản lý ngoại thương đối với hàng hóa mua bán, vận chuyển giữa các khu vực hải quan riêng theo quy </w:t>
            </w:r>
            <w:r>
              <w:rPr>
                <w:rFonts w:eastAsia="Times New Roman" w:cs="Times New Roman"/>
                <w:color w:val="000000"/>
                <w:kern w:val="0"/>
                <w:sz w:val="24"/>
                <w:lang w:eastAsia="vi-VN"/>
              </w:rPr>
              <w:lastRenderedPageBreak/>
              <w:t>định của pháp luật.</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kern w:val="0"/>
                <w:sz w:val="20"/>
                <w:szCs w:val="20"/>
                <w:lang w:val="vi-VN" w:eastAsia="vi-VN"/>
              </w:rPr>
            </w:pPr>
            <w:r>
              <w:rPr>
                <w:rFonts w:eastAsia="Times New Roman" w:cs="Times New Roman"/>
                <w:kern w:val="0"/>
                <w:sz w:val="20"/>
                <w:szCs w:val="20"/>
                <w:lang w:eastAsia="vi-VN"/>
              </w:rPr>
              <w:lastRenderedPageBreak/>
              <w:t>Ngày 29/7/2026, Bộ Tài chính (Cục Quản lý, giám sát chính sách thuế, phí và lệ phí) đã có công văn số 2194/CST-GTGT gửi Công ty TNHH Canon Việt Nam</w:t>
            </w:r>
            <w:r>
              <w:rPr>
                <w:rFonts w:eastAsia="Times New Roman" w:cs="Times New Roman"/>
                <w:kern w:val="0"/>
                <w:sz w:val="20"/>
                <w:szCs w:val="20"/>
                <w:lang w:val="vi-VN" w:eastAsia="vi-VN"/>
              </w:rPr>
              <w:t>.</w:t>
            </w:r>
          </w:p>
          <w:p w:rsidR="003D4A69" w:rsidRDefault="003D4A69">
            <w:pPr>
              <w:spacing w:after="0" w:line="240" w:lineRule="auto"/>
              <w:rPr>
                <w:rFonts w:eastAsia="Times New Roman" w:cs="Times New Roman"/>
                <w:kern w:val="0"/>
                <w:sz w:val="20"/>
                <w:szCs w:val="20"/>
                <w:lang w:val="vi-VN" w:eastAsia="vi-VN"/>
              </w:rPr>
            </w:pPr>
          </w:p>
          <w:p w:rsidR="003D4A69" w:rsidRDefault="003D4A69">
            <w:pPr>
              <w:spacing w:after="0" w:line="240" w:lineRule="auto"/>
              <w:rPr>
                <w:rFonts w:eastAsia="Times New Roman" w:cs="Times New Roman"/>
                <w:kern w:val="0"/>
                <w:sz w:val="20"/>
                <w:szCs w:val="20"/>
                <w:lang w:eastAsia="vi-VN"/>
              </w:rPr>
            </w:pPr>
            <w:r>
              <w:rPr>
                <w:rStyle w:val="fontstyle01"/>
                <w:sz w:val="20"/>
                <w:szCs w:val="20"/>
              </w:rPr>
              <w:t xml:space="preserve">Ngày 19/7/2026, Cục Công nghiệp công nghệ thông tin (Bộ KH&amp;CN) đã có văn bản số 1487/CNCNTT-CL hướng dẫn Canon Việt Nam </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20</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VASEP</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eastAsia="vi-VN"/>
              </w:rPr>
            </w:pPr>
            <w:r>
              <w:rPr>
                <w:rFonts w:eastAsia="Times New Roman" w:cs="Times New Roman"/>
                <w:bCs/>
                <w:color w:val="000000"/>
                <w:kern w:val="0"/>
                <w:sz w:val="24"/>
                <w:lang w:eastAsia="vi-VN"/>
              </w:rPr>
              <w:t>Kiến nghị đặc thù ngành thủy sản</w:t>
            </w:r>
          </w:p>
        </w:tc>
        <w:tc>
          <w:tcPr>
            <w:tcW w:w="2624"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Bổ sung quy định kiểm dịch, kiểm tra ATTP cho hàng chuyển mục đích sử dụng; đưa hàng G13 vào đối tượng không chịu thuế GTGT; nghiên cứu giải pháp giảm chi phí logistics và phát triển đội tàu container lạnh; mở rộng hạn mức tín dụng và duy trì gói tín dụng Lâm–Thủy sản; cho phép doanh nghiệp trong khu công nghiệp tự xử lý đạt chuẩn cột A kèm quan trắc tự động; ban hành khung pháp lý cho đầu tư tư nhân vào thủy lợi; đàm phán bỏ hạn ngạch tôm trong VKFTA; sớm ban hành </w:t>
            </w:r>
            <w:r>
              <w:rPr>
                <w:rFonts w:eastAsia="Times New Roman" w:cs="Times New Roman"/>
                <w:color w:val="000000"/>
                <w:kern w:val="0"/>
                <w:sz w:val="24"/>
                <w:lang w:eastAsia="vi-VN"/>
              </w:rPr>
              <w:lastRenderedPageBreak/>
              <w:t>nghị định về Quỹ xúc tiến xuất khẩu ngành hàng.</w:t>
            </w:r>
          </w:p>
          <w:p w:rsidR="003D4A69" w:rsidRDefault="003D4A69">
            <w:pPr>
              <w:spacing w:after="0" w:line="240" w:lineRule="auto"/>
              <w:rPr>
                <w:rFonts w:eastAsia="Times New Roman" w:cs="Times New Roman"/>
                <w:color w:val="000000"/>
                <w:kern w:val="0"/>
                <w:sz w:val="24"/>
                <w:lang w:eastAsia="vi-VN"/>
              </w:rPr>
            </w:pPr>
          </w:p>
          <w:p w:rsidR="003D4A69" w:rsidRDefault="003D4A69">
            <w:pPr>
              <w:spacing w:after="0" w:line="240" w:lineRule="auto"/>
              <w:rPr>
                <w:rFonts w:eastAsia="Times New Roman" w:cs="Times New Roman"/>
                <w:color w:val="000000"/>
                <w:kern w:val="0"/>
                <w:sz w:val="24"/>
                <w:lang w:eastAsia="vi-VN"/>
              </w:rPr>
            </w:pPr>
          </w:p>
          <w:p w:rsidR="003D4A69" w:rsidRDefault="003D4A69">
            <w:pPr>
              <w:spacing w:after="0" w:line="240" w:lineRule="auto"/>
              <w:rPr>
                <w:rFonts w:eastAsia="Times New Roman" w:cs="Times New Roman"/>
                <w:color w:val="000000"/>
                <w:kern w:val="0"/>
                <w:sz w:val="24"/>
                <w:lang w:eastAsia="vi-VN"/>
              </w:rPr>
            </w:pPr>
          </w:p>
          <w:p w:rsidR="003D4A69" w:rsidRDefault="003D4A69">
            <w:pPr>
              <w:spacing w:after="0" w:line="240" w:lineRule="auto"/>
              <w:rPr>
                <w:rFonts w:eastAsia="Times New Roman" w:cs="Times New Roman"/>
                <w:color w:val="000000"/>
                <w:kern w:val="0"/>
                <w:sz w:val="24"/>
                <w:lang w:eastAsia="vi-VN"/>
              </w:rPr>
            </w:pPr>
          </w:p>
          <w:p w:rsidR="003D4A69" w:rsidRDefault="003D4A69">
            <w:pPr>
              <w:spacing w:after="0" w:line="240" w:lineRule="auto"/>
              <w:rPr>
                <w:rFonts w:eastAsia="Times New Roman" w:cs="Times New Roman"/>
                <w:color w:val="000000"/>
                <w:kern w:val="0"/>
                <w:sz w:val="24"/>
                <w:lang w:eastAsia="vi-VN"/>
              </w:rPr>
            </w:pPr>
          </w:p>
          <w:p w:rsidR="003D4A69" w:rsidRDefault="003D4A69">
            <w:pPr>
              <w:spacing w:after="0" w:line="240" w:lineRule="auto"/>
              <w:rPr>
                <w:rFonts w:eastAsia="Times New Roman" w:cs="Times New Roman"/>
                <w:color w:val="000000"/>
                <w:kern w:val="0"/>
                <w:sz w:val="24"/>
                <w:lang w:eastAsia="vi-VN"/>
              </w:rPr>
            </w:pPr>
          </w:p>
          <w:p w:rsidR="003D4A69" w:rsidRDefault="003D4A69">
            <w:pPr>
              <w:spacing w:after="0" w:line="240" w:lineRule="auto"/>
              <w:rPr>
                <w:rFonts w:eastAsia="Times New Roman" w:cs="Times New Roman"/>
                <w:color w:val="000000"/>
                <w:kern w:val="0"/>
                <w:sz w:val="24"/>
                <w:lang w:eastAsia="vi-VN"/>
              </w:rPr>
            </w:pPr>
          </w:p>
          <w:p w:rsidR="003D4A69" w:rsidRDefault="003D4A69">
            <w:pPr>
              <w:spacing w:after="0" w:line="240" w:lineRule="auto"/>
              <w:rPr>
                <w:rFonts w:eastAsia="Times New Roman" w:cs="Times New Roman"/>
                <w:color w:val="000000"/>
                <w:kern w:val="0"/>
                <w:sz w:val="24"/>
                <w:lang w:eastAsia="vi-VN"/>
              </w:rPr>
            </w:pPr>
          </w:p>
          <w:p w:rsidR="003D4A69" w:rsidRDefault="003D4A69">
            <w:pPr>
              <w:spacing w:after="0" w:line="240" w:lineRule="auto"/>
              <w:rPr>
                <w:rFonts w:eastAsia="Times New Roman" w:cs="Times New Roman"/>
                <w:color w:val="000000"/>
                <w:kern w:val="0"/>
                <w:sz w:val="24"/>
                <w:lang w:eastAsia="vi-VN"/>
              </w:rPr>
            </w:pPr>
          </w:p>
          <w:p w:rsidR="003D4A69" w:rsidRDefault="003D4A69">
            <w:pPr>
              <w:spacing w:after="0" w:line="240" w:lineRule="auto"/>
              <w:rPr>
                <w:rFonts w:eastAsia="Times New Roman" w:cs="Times New Roman"/>
                <w:color w:val="000000"/>
                <w:kern w:val="0"/>
                <w:sz w:val="24"/>
                <w:lang w:eastAsia="vi-VN"/>
              </w:rPr>
            </w:pPr>
          </w:p>
          <w:p w:rsidR="003D4A69" w:rsidRDefault="003D4A69">
            <w:pPr>
              <w:spacing w:after="0" w:line="240" w:lineRule="auto"/>
              <w:rPr>
                <w:rFonts w:eastAsia="Times New Roman" w:cs="Times New Roman"/>
                <w:color w:val="000000"/>
                <w:kern w:val="0"/>
                <w:sz w:val="24"/>
                <w:lang w:eastAsia="vi-VN"/>
              </w:rPr>
            </w:pPr>
          </w:p>
          <w:p w:rsidR="003D4A69" w:rsidRDefault="003D4A69">
            <w:pPr>
              <w:spacing w:after="0" w:line="240" w:lineRule="auto"/>
              <w:rPr>
                <w:rFonts w:eastAsia="Times New Roman" w:cs="Times New Roman"/>
                <w:color w:val="000000"/>
                <w:kern w:val="0"/>
                <w:sz w:val="24"/>
                <w:lang w:eastAsia="vi-VN"/>
              </w:rPr>
            </w:pP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Công Thương, Bộ Nông nghiệp và Môi trường, Ngân hàng Nhà nước, Bộ Y tế, 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Đối với kiến nghị về thuế GTGT đối với hàng hóa xuất khẩu bị trả về để tái chế, Bộ Tài chính cho biết pháp luật hiện hành đã quy định cụ thể về thời hạn giải quyết hồ sơ hoàn thuế giá trị gia tăng nhằm bảo đảm quyền lợi của người nộp thuế. Đồng thời, Bộ Tài chính cho biết kiến nghị đưa hàng hóa thuộc loại hình G13 vào đối tượng không chịu thuế GTGT là chưa phù hợp với định hướng cải cách chính sách thuế theo Quyết định số 508/QĐ-TTg. </w:t>
            </w:r>
          </w:p>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Đối với kiến nghị về tiếp cận tín dụng, Ngân hàng Nhà nước cho biết đã có văn bản hướng dẫn, trả lời Hiệp hội Chế biến và Xuất khẩu Thủy sản Việt Nam (VASEP) về các giải pháp nâng cao khả năng tiếp cận vốn và duy trì các chương trình tín dụng ưu đãi đối với lĩnh vực nông, lâm, thủy sản.</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Ngày 29/7/2026, Bộ Tài chính (Cục Quản lý, giám sát chính sách thuế, phí và lệ phí) đã có công văn số 2193/CST-GTGT gửi Hiệp hội</w:t>
            </w:r>
          </w:p>
          <w:p w:rsidR="003D4A69" w:rsidRDefault="003D4A69">
            <w:pPr>
              <w:spacing w:after="0" w:line="240" w:lineRule="auto"/>
              <w:rPr>
                <w:rFonts w:eastAsia="Times New Roman" w:cs="Times New Roman"/>
                <w:kern w:val="0"/>
                <w:sz w:val="20"/>
                <w:szCs w:val="20"/>
                <w:lang w:eastAsia="vi-VN"/>
              </w:rPr>
            </w:pPr>
          </w:p>
          <w:p w:rsidR="003D4A69" w:rsidRDefault="003D4A69">
            <w:pPr>
              <w:spacing w:after="0" w:line="240" w:lineRule="auto"/>
              <w:rPr>
                <w:rStyle w:val="fontstyle01"/>
                <w:sz w:val="20"/>
                <w:szCs w:val="20"/>
              </w:rPr>
            </w:pPr>
            <w:r>
              <w:rPr>
                <w:rFonts w:eastAsia="Times New Roman" w:cs="Times New Roman"/>
                <w:kern w:val="0"/>
                <w:sz w:val="20"/>
                <w:szCs w:val="20"/>
                <w:lang w:eastAsia="vi-VN"/>
              </w:rPr>
              <w:t xml:space="preserve">Bộ Công thương: </w:t>
            </w:r>
            <w:r>
              <w:rPr>
                <w:rStyle w:val="fontstyle01"/>
                <w:sz w:val="20"/>
                <w:szCs w:val="20"/>
              </w:rPr>
              <w:t xml:space="preserve">Thủ tướng Chính phủ đã phê duyệt Chiến lược phát triển dịch vụ logistics Việt Nam thời kỳ 2025-2035, tầm nhìn đến năm 2050 tại Quyết định số 2229/QĐ-TTg ngày 09/10/2025, đặt ra mục tiêu cụ thể giảm chi phí logistics và phát triển đội tàu container lạnh. Bộ Công Thương đã tích cực phối hợp với các Bộ Xây dựng, Tài chính, Khoa học và Công nghệ, Nông nghiệp và Phát triển nông thôn triển khai nhiều giải pháp cải thiện môi trường kinh doanh, hạn chế tăng chi phí logistics. Trong </w:t>
            </w:r>
            <w:r>
              <w:rPr>
                <w:rStyle w:val="fontstyle01"/>
                <w:sz w:val="20"/>
                <w:szCs w:val="20"/>
              </w:rPr>
              <w:lastRenderedPageBreak/>
              <w:t>thời gian tới, Bộ Công Thương tiếp tục phối hợp triển khai đồng bộ các nhiệm vụ của Chiến lược; đồng thời thúc đẩy chuyển đổi số, phát triển logistics xanh và cải cách TTHC.</w:t>
            </w:r>
          </w:p>
          <w:p w:rsidR="003D4A69" w:rsidRDefault="003D4A69">
            <w:pPr>
              <w:spacing w:after="0" w:line="240" w:lineRule="auto"/>
              <w:rPr>
                <w:rStyle w:val="fontstyle01"/>
                <w:sz w:val="20"/>
                <w:szCs w:val="20"/>
              </w:rPr>
            </w:pPr>
          </w:p>
          <w:p w:rsidR="003D4A69" w:rsidRDefault="003D4A69">
            <w:pPr>
              <w:spacing w:after="0" w:line="240" w:lineRule="auto"/>
              <w:rPr>
                <w:rFonts w:eastAsia="Times New Roman" w:cs="Times New Roman"/>
                <w:kern w:val="0"/>
                <w:lang w:eastAsia="vi-VN"/>
              </w:rPr>
            </w:pPr>
            <w:r>
              <w:rPr>
                <w:rStyle w:val="fontstyle01"/>
                <w:sz w:val="20"/>
                <w:szCs w:val="20"/>
              </w:rPr>
              <w:t xml:space="preserve">Bộ Nông nghiệp và Môi trường (Ngày 03/6/2026, Bộ Nông nghiệp và Môi trường đã ban hành Công văn số 5742/BNNMT-KHTC gửi Liên đoàn Thương mại và Công nghiệp Việt Nam): </w:t>
            </w:r>
          </w:p>
          <w:p w:rsidR="003D4A69" w:rsidRDefault="003D4A69">
            <w:pPr>
              <w:spacing w:after="0"/>
              <w:rPr>
                <w:kern w:val="0"/>
                <w:sz w:val="20"/>
                <w:szCs w:val="20"/>
              </w:rPr>
            </w:pPr>
            <w:r>
              <w:rPr>
                <w:rStyle w:val="fontstyle01"/>
                <w:sz w:val="20"/>
                <w:szCs w:val="20"/>
              </w:rPr>
              <w:t xml:space="preserve">- Theo Thông tư số 03/2026/TT-BNNMT đối với "Sản phẩm động vật thủy sản nhập khẩu làm nguyên liệu để gia công xuất khẩu, sản xuất xuất khẩu" được miễn kiểm dịch khi nhập khẩu vào Việt Nam.- Thực tế sản phẩm thủy sản làm nguyên liệu để gia công chế biến xuất khẩu, sản xuất xuất khẩu được nhập khẩu từ nhiều nguồn khác nhau, không yêu cầu có trong danh sách cơ sở được phép xuất </w:t>
            </w:r>
            <w:r>
              <w:rPr>
                <w:rStyle w:val="fontstyle01"/>
                <w:sz w:val="20"/>
                <w:szCs w:val="20"/>
              </w:rPr>
              <w:lastRenderedPageBreak/>
              <w:t>khẩu vào Việt Nam như quy định đối với sản phẩm thủy sản nhập khẩu để tiêu thụ trong nước.- Có lô hàng có thể không có Giấy chứng nhận kiểm dịch của cơ quan có thẩm quyền nước xuất khẩu cấp, như đối với lô hàng sản phẩm thủy sản nhập khẩu để tiêu thụ trong nước.- Lô hàng có thể có nhãn, bao gói không phù hợp với quy định hiện hành về nhãn mác, bao gói đối với sản phẩm thực phẩm nhập khẩu để tiêu thụ trong nước do nguyên liệu thủy sản nhập khẩu với mục đích làm nguyên liệu gia công xuất khẩu, sản xuất xuất khẩu có thể đóng chung trong cả công-ten-nơ hoặc đóng thành những block đông lạnh mà không có bao gói và nhãn mác là nhãn mác chung cho cả công-ten-nơ</w:t>
            </w:r>
          </w:p>
          <w:p w:rsidR="003D4A69" w:rsidRDefault="003D4A69">
            <w:pPr>
              <w:spacing w:after="0"/>
              <w:rPr>
                <w:kern w:val="0"/>
                <w:sz w:val="20"/>
                <w:szCs w:val="20"/>
              </w:rPr>
            </w:pPr>
            <w:r>
              <w:rPr>
                <w:rStyle w:val="fontstyle01"/>
                <w:sz w:val="20"/>
                <w:szCs w:val="20"/>
              </w:rPr>
              <w:t xml:space="preserve">- Nguyên liệu thủy sản nhập khẩu có thể được đưa về </w:t>
            </w:r>
            <w:r>
              <w:rPr>
                <w:rStyle w:val="fontstyle01"/>
                <w:sz w:val="20"/>
                <w:szCs w:val="20"/>
              </w:rPr>
              <w:lastRenderedPageBreak/>
              <w:t>kho, cơ sở chế biến của doanh nghiệp ở nhiều nơi trên phạm vi cả nước, được chế biến thành dạng sản phẩm khác.</w:t>
            </w:r>
            <w:r>
              <w:rPr>
                <w:rStyle w:val="fontstyle21"/>
                <w:sz w:val="20"/>
                <w:szCs w:val="20"/>
              </w:rPr>
              <w:t xml:space="preserve">Do đó, </w:t>
            </w:r>
            <w:r>
              <w:rPr>
                <w:rStyle w:val="fontstyle01"/>
                <w:sz w:val="20"/>
                <w:szCs w:val="20"/>
              </w:rPr>
              <w:t>Bộ nhận thấy việc quy định chuyển đổi mục đích sử dụng sang tiêu thụ nội địa đối với sản phẩm thủy sản nhập khẩu làm nguyên liệu để gia công chế biến xuất khẩu, sản xuất xuất khẩu sẽ gặp khó khăn, vướng mắc, không đáp ứng quy định hiện hành đối với sản phẩm thủy sản nhập khẩu để tiêu thụ trong nước; đồng thời có thể dẫn đến cạnh tranh không lành mạnh đối với hàng sản xuất trong nước, hàng được nhập khẩu theo quy trình kiểm dịch để tiêu thụ trong nước.</w:t>
            </w:r>
          </w:p>
          <w:p w:rsidR="003D4A69" w:rsidRDefault="003D4A69">
            <w:pPr>
              <w:spacing w:after="0" w:line="240" w:lineRule="auto"/>
              <w:rPr>
                <w:rFonts w:eastAsia="Times New Roman" w:cs="Times New Roman"/>
                <w:kern w:val="0"/>
                <w:sz w:val="20"/>
                <w:szCs w:val="20"/>
                <w:lang w:eastAsia="vi-VN"/>
              </w:rPr>
            </w:pPr>
          </w:p>
        </w:tc>
      </w:tr>
      <w:tr w:rsidR="003D4A69" w:rsidTr="003D4A69">
        <w:trPr>
          <w:trHeight w:val="397"/>
        </w:trPr>
        <w:tc>
          <w:tcPr>
            <w:tcW w:w="15168" w:type="dxa"/>
            <w:gridSpan w:val="7"/>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
                <w:color w:val="000000"/>
                <w:kern w:val="0"/>
                <w:sz w:val="24"/>
                <w:lang w:eastAsia="vi-VN"/>
              </w:rPr>
            </w:pPr>
            <w:r>
              <w:rPr>
                <w:rFonts w:eastAsia="Times New Roman" w:cs="Times New Roman"/>
                <w:b/>
                <w:color w:val="000000"/>
                <w:kern w:val="0"/>
                <w:sz w:val="24"/>
                <w:lang w:eastAsia="vi-VN"/>
              </w:rPr>
              <w:lastRenderedPageBreak/>
              <w:t xml:space="preserve">II. Các kiến nghị được tiếp thu, nghiên cứu, xem xét sửa đổi </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Hiệp hội Doanh nghiệp châu Âu tại Việt Nam (EuroCham)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Khoảng trống pháp lý do văn bản cũ hết hiệu lực nhưng chưa có văn bản thay thế</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Đề nghị các Bộ, ngành chấm dứt tình trạng tạo ra tình trạng khoảng trống pháp lý này, ban hành kịp thời văn bản thay thế văn bản cũ hoặc công bố tiếp tục hiệu lực văn bản cũ đến khi có quy định mới; không tiến hành thanh tra, xử phạt đối với các điều kiện đang trong giai đoạn chuyển tiếp. VASEP đề xuất bổ sung nội dung MRPL vào Dự thảo Luật ATTP sửa đổi và giao Bộ Nông nghiệp và Môi trường hướng dẫn tại Thông tư.</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
                <w:bCs/>
                <w:color w:val="000000"/>
                <w:kern w:val="0"/>
                <w:sz w:val="24"/>
                <w:lang w:val="vi-VN" w:eastAsia="vi-VN"/>
              </w:rPr>
            </w:pPr>
            <w:r>
              <w:rPr>
                <w:rFonts w:eastAsia="Times New Roman" w:cs="Times New Roman"/>
                <w:color w:val="000000"/>
                <w:kern w:val="0"/>
                <w:sz w:val="24"/>
                <w:lang w:val="vi-VN" w:eastAsia="vi-VN"/>
              </w:rPr>
              <w:t>Các Bộ quản lý ngành đối với từng văn bản</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val="vi-VN" w:eastAsia="vi-VN"/>
              </w:rPr>
              <w:t xml:space="preserve"> </w:t>
            </w:r>
            <w:r>
              <w:rPr>
                <w:rFonts w:ascii="TimesNewRomanPSMT" w:eastAsia="Times New Roman" w:hAnsi="TimesNewRomanPSMT" w:cs="Times New Roman"/>
                <w:i/>
                <w:color w:val="FF0000"/>
                <w:kern w:val="0"/>
                <w:sz w:val="20"/>
                <w:szCs w:val="20"/>
              </w:rPr>
              <w:t>Hiện nay, Bộ Tài chính chưa nhận được công văn trả lời Hiệp hội của các cơ quan chuyên môn.</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t>2</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 Ý kiến phản ánh từ Hiệp hội Doanh nghiệp Anh Quốc tại Việt Nam (BritCham), Hiệp hội </w:t>
            </w:r>
            <w:r>
              <w:rPr>
                <w:rFonts w:eastAsia="Times New Roman" w:cs="Times New Roman"/>
                <w:color w:val="000000"/>
                <w:kern w:val="0"/>
                <w:sz w:val="24"/>
                <w:lang w:val="vi-VN" w:eastAsia="vi-VN"/>
              </w:rPr>
              <w:lastRenderedPageBreak/>
              <w:t xml:space="preserve">Doanh nghiệp Úc tại Việt Nam (AusCham), Hiệp hội Bia - Rượu - Nước giải khát Việt Nam (VBA) và Hiệp hội Doanh nghiệp Hàn Quốc tại Việt Nam (KoCham) </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lastRenderedPageBreak/>
              <w:t>Hệ thống pháp luật thay đổi quá thường xuyên, thiếu lộ trình chuyển tiếp</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Bảo đảm văn bản hướng dẫn có hiệu lực đồng thời với luật; công bố lộ trình rõ ràng cho từng giai đoạn từ soạn thảo, lấy ý kiến, ban hành đến thực thi; quy định thời gian chuyển tiếp tối </w:t>
            </w:r>
            <w:r>
              <w:rPr>
                <w:rFonts w:eastAsia="Times New Roman" w:cs="Times New Roman"/>
                <w:color w:val="000000"/>
                <w:kern w:val="0"/>
                <w:sz w:val="24"/>
                <w:lang w:val="vi-VN" w:eastAsia="vi-VN"/>
              </w:rPr>
              <w:lastRenderedPageBreak/>
              <w:t>thiểu từ sáu đến mười hai tháng cho các chính sách mới.</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lastRenderedPageBreak/>
              <w:t>Bộ Tư pháp phối hợp các Bộ chủ trì xử lý.</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val="vi-VN" w:eastAsia="vi-VN"/>
              </w:rPr>
            </w:pPr>
            <w:r>
              <w:rPr>
                <w:rFonts w:ascii="TimesNewRomanPSMT" w:eastAsia="Times New Roman" w:hAnsi="TimesNewRomanPSMT" w:cs="Times New Roman"/>
                <w:i/>
                <w:color w:val="FF0000"/>
                <w:kern w:val="0"/>
                <w:sz w:val="20"/>
                <w:szCs w:val="20"/>
              </w:rPr>
              <w:t>Hiện nay, Bộ Tài chính chưa nhận được công văn trả lời Hiệp hội của các cơ quan chuyên môn.</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3</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Nhiều hiệp hội và doanh nghiệp</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Thiếu cơ chế tham vấn kịp thời và thực chất trong quá trình xây dựng văn bản quy phạm pháp luật</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Bộ Tư pháp chủ trì rà soát sửa đổi quy trình ban hành văn bản pháp luật trong Luật ban hành văn bản quy phạm pháp luật và nghị định hướng dẫn để đảm bảo yêu cầu cần phải tham vấn và tham vấn thực chất các doanh nghiệp trong quá trình soạn thảo văn bản pháp luật; có cơ chế phản hồi và giải trình của cơ quan soạn thảo </w:t>
            </w:r>
            <w:r>
              <w:rPr>
                <w:rFonts w:eastAsia="Times New Roman" w:cs="Times New Roman"/>
                <w:color w:val="000000"/>
                <w:kern w:val="0"/>
                <w:sz w:val="24"/>
                <w:lang w:val="vi-VN" w:eastAsia="vi-VN"/>
              </w:rPr>
              <w:lastRenderedPageBreak/>
              <w:t>với các ý kiến góp ý chính sách của doanh nghiệp; phối hợp với các Bộ, ngành thực hiện chuẩn hóa kỹ thuật các cổng thông tin lấy ý kiến dự thảo trong đó phải công khai đầy đủ thông tin liên hệ (số điện thoại, thư điện tử) của công chức phụ trách trực tiếp Ban soạn thảo; đồng thời tích hợp tính năng tự động gửi văn bản/thông báo điện tử xác nhận đã tiếp nhận thành công ý kiến đóng góp của doanh nghiệp để theo dõi, giám sát quy trình giải trình.</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lastRenderedPageBreak/>
              <w:t>Bộ Tư pháp phối hợp với các Bộ ngành khác.</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val="vi-VN" w:eastAsia="vi-VN"/>
              </w:rPr>
            </w:pPr>
            <w:r>
              <w:rPr>
                <w:rFonts w:ascii="TimesNewRomanPSMT" w:eastAsia="Times New Roman" w:hAnsi="TimesNewRomanPSMT" w:cs="Times New Roman"/>
                <w:i/>
                <w:color w:val="FF0000"/>
                <w:kern w:val="0"/>
                <w:sz w:val="20"/>
                <w:szCs w:val="20"/>
              </w:rPr>
              <w:t>Hiện nay, Bộ Tài chính chưa nhận được công văn trả lời Hiệp hội của các cơ quan chuyên môn.</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4</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Một số doanh nghiệp kinh doanh xăng dầu</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Cơ chế áp công thức giá cứng cho xăng dầu không phản ánh đủ chi phí thực tế</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Đề nghị Nhà nước xem xét để doanh nghiệp tự quyết định giá bán theo cơ chế thị trường và tự chịu trách nhiệm; công nhận chi nhánh trực thuộc công ty con vào hệ </w:t>
            </w:r>
            <w:r>
              <w:rPr>
                <w:rFonts w:eastAsia="Times New Roman" w:cs="Times New Roman"/>
                <w:color w:val="000000"/>
                <w:kern w:val="0"/>
                <w:sz w:val="24"/>
                <w:lang w:val="vi-VN" w:eastAsia="vi-VN"/>
              </w:rPr>
              <w:lastRenderedPageBreak/>
              <w:t>thống phân phối của thương nhân đầu mối.</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val="vi-VN" w:eastAsia="vi-VN"/>
              </w:rPr>
              <w:lastRenderedPageBreak/>
              <w:t>Bộ Công Thương</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ascii="TimesNewRomanPSMT" w:eastAsia="Times New Roman" w:hAnsi="TimesNewRomanPSMT" w:cs="Times New Roman"/>
                <w:i/>
                <w:color w:val="FF0000"/>
                <w:kern w:val="0"/>
                <w:sz w:val="20"/>
                <w:szCs w:val="20"/>
              </w:rPr>
              <w:t>Hiện nay, Bộ Tài chính chưa nhận được công văn trả lời Hiệp hội của các cơ quan chuyên môn.</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5</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Một số doanh nghiệp</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Mâu thuẫn giữa Luật Đầu tư 2025 và Luật Doanh nghiệp về trình tự thành lập</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Khẩn trương sửa Luật Doanh nghiệp và văn bản hướng dẫn để thống nhất với Luật Đầu tư; quy định rõ các trường hợp không được cấp Giấy chứng nhận đầu tư và cơ chế công nhận năng lực pháp lý trong giai đoạn chờ.</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val="vi-VN" w:eastAsia="vi-VN"/>
              </w:rPr>
              <w:t>Bộ Tài chính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 xml:space="preserve">Thực hiện Trang chủ Thông báo số 394/TB-VPCP của Văn phòng Chính phủ: Kết luận của Thủ tướng Chính phủ tại Hội nghị Thường trực Chính phủ với cộng đồng doanh nghiệp với chủ đề “Tháo gỡ điểm nghẽn - Khơi thông nguồn lực - Thúc đẩy tăng trưởng”, Bộ Tài chính đã có Thông báo số 609/TB-BTC ngày 27/7/2026, theo đó đã giao nhiệm vụ thường xuyên dành cho các cơ quan chuyên môn, cụ thể: “Khần trương rà soát toàn diện các quy định về đầu tư, quy hoạch, đấu thầu, thuế, hải quan và các lĩnh vực liên quan để chủ động xử lý ngay các vướng mắc thuộc thẩm quyền; dứt khoát hủy bỏ các quy định chồng chéo, các thủ tục hành chính bất hợp lý, các cách hiểu khác nhau </w:t>
            </w:r>
            <w:r>
              <w:rPr>
                <w:rFonts w:eastAsia="Times New Roman" w:cs="Times New Roman"/>
                <w:kern w:val="0"/>
                <w:sz w:val="20"/>
                <w:szCs w:val="20"/>
                <w:lang w:eastAsia="vi-VN"/>
              </w:rPr>
              <w:lastRenderedPageBreak/>
              <w:t>và thái độ né tránh trách nhiệm trong tổ chức thực hiện. Đẩy mạnh ứng dụng khoa học công nghệ, trí tuệ nhân tạo để rà soát, xử lý”.</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6</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Diễn đàn Doanh nghiệp Việt Nam (Vietnam Business Forum)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Nhà ở tái định cư tồn đọng và mở rộng tiếp cận đất cho nhà ở thương mại</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Yêu cầu địa phương xử lý dứt điểm dự án tồn đọng trong thời hạn cụ thể; luật hóa Nghị quyết 171 vào Luật Đất đai sửa đổi; thiết lập cơ chế minh bạch xác định tiền sử dụng đất theo từng block.</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Bộ Nông nghiệp và Môi trường, Bộ Xây dựng, Ủy ban nhân dân cấp tỉnh.</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ascii="TimesNewRomanPSMT" w:eastAsia="Times New Roman" w:hAnsi="TimesNewRomanPSMT" w:cs="Times New Roman"/>
                <w:i/>
                <w:color w:val="FF0000"/>
                <w:kern w:val="0"/>
                <w:sz w:val="20"/>
                <w:szCs w:val="20"/>
              </w:rPr>
              <w:t>Hiện nay, Bộ Tài chính chưa nhận được công văn trả lời Hiệp hội của các cơ quan chuyên môn.</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t>7</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Hiệp hội Doanh nghiệp Thụy Sỹ tại Việt Nam (SBA)</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Sự thiếu linh hoạt trong áp dụng tiêu chuẩn Phòng cháy chữa cháy mới đối với các cơ sở hạ tầng cũ</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Đề nghị Chính phủ chỉ đạo Bộ Công an áp dụng mạnh mẽ phương pháp tiếp cận dựa trên quản lý rủi ro (risk-based approach) trong công tác kiểm tra phòng cháy; xây dựng các điều khoản chuyển tiếp linh hoạt và rõ ràng cho phép các cơ sở hạ tầng cũ được khắc phục các thiếu sót hành </w:t>
            </w:r>
            <w:r>
              <w:rPr>
                <w:rFonts w:eastAsia="Times New Roman" w:cs="Times New Roman"/>
                <w:color w:val="000000"/>
                <w:kern w:val="0"/>
                <w:sz w:val="24"/>
                <w:lang w:val="vi-VN" w:eastAsia="vi-VN"/>
              </w:rPr>
              <w:lastRenderedPageBreak/>
              <w:t>chính thông qua các biện pháp kỹ thuật bù đắp tương đương, thay vì áp đặt cứng nhắc nghĩa vụ thay thế toàn bộ hệ thống hiện hữu.</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lastRenderedPageBreak/>
              <w:t xml:space="preserve">Bộ Công an </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ascii="TimesNewRomanPSMT" w:eastAsia="Times New Roman" w:hAnsi="TimesNewRomanPSMT" w:cs="Times New Roman"/>
                <w:kern w:val="0"/>
                <w:sz w:val="20"/>
                <w:szCs w:val="20"/>
              </w:rPr>
            </w:pPr>
            <w:r>
              <w:rPr>
                <w:rFonts w:ascii="TimesNewRomanPSMT" w:eastAsia="Times New Roman" w:hAnsi="TimesNewRomanPSMT" w:cs="Times New Roman"/>
                <w:kern w:val="0"/>
                <w:sz w:val="20"/>
                <w:szCs w:val="20"/>
              </w:rPr>
              <w:t xml:space="preserve">Thời gian vừa qua, Bộ Công an đã tham mưu Chính phủ sửa đổi, ban hành nhiều văn bản quy phạm pháp luật trong lĩnh vực Phòng cháy, chữa cháy và cứu nạn cứu hộ (PCCC và CNCH) như Luật PCCC và CNCH, Nghị định số 105/2025/NĐ-CP, ban hành quy chuẩn kỹ thuật quốc gia QCVN 10:2025/BCA về trang bị, bố trí phương tiện PCCC và CNCH, phối hợp với Bộ Xây dựng soát xét ban hành </w:t>
            </w:r>
            <w:r>
              <w:rPr>
                <w:rFonts w:ascii="TimesNewRomanPSMT" w:eastAsia="Times New Roman" w:hAnsi="TimesNewRomanPSMT" w:cs="Times New Roman"/>
                <w:kern w:val="0"/>
                <w:sz w:val="20"/>
                <w:szCs w:val="20"/>
              </w:rPr>
              <w:lastRenderedPageBreak/>
              <w:t>sửa đổi 1:2023 QCVN 06:2022/BXD về an toàn cháy cho nhà và công trình theo hướng linh hoạt áp dụng các quy định của tiêu chuẩn, quy chuẩn về PCCC, trong đó:</w:t>
            </w:r>
          </w:p>
          <w:p w:rsidR="003D4A69" w:rsidRDefault="003D4A69">
            <w:pPr>
              <w:spacing w:after="0" w:line="240" w:lineRule="auto"/>
              <w:rPr>
                <w:rFonts w:eastAsia="Times New Roman" w:cs="Times New Roman"/>
                <w:kern w:val="0"/>
                <w:sz w:val="20"/>
                <w:szCs w:val="20"/>
              </w:rPr>
            </w:pPr>
            <w:r>
              <w:rPr>
                <w:rFonts w:ascii="TimesNewRomanPSMT" w:eastAsia="Times New Roman" w:hAnsi="TimesNewRomanPSMT" w:cs="Times New Roman"/>
                <w:kern w:val="0"/>
                <w:sz w:val="20"/>
                <w:szCs w:val="20"/>
              </w:rPr>
              <w:t>- Trường hợp các cơ sở không bảo đảm yêu cầu về PCCC được đưa vào hoạt động trước thời điểm Luật PCCC năm 2001 có hiệu lực thi hành: Thực hiện theo quy định của Nghị quyết do Hội đồng nhân dân cấp tỉnh đã ban hành theo quy định tại khoản 5 Điều 55 Luật PCCC và CNCH.</w:t>
            </w:r>
          </w:p>
          <w:p w:rsidR="003D4A69" w:rsidRDefault="003D4A69">
            <w:pPr>
              <w:spacing w:after="0" w:line="240" w:lineRule="auto"/>
              <w:rPr>
                <w:rFonts w:ascii="TimesNewRomanPSMT" w:eastAsia="Times New Roman" w:hAnsi="TimesNewRomanPSMT" w:cs="Times New Roman"/>
                <w:kern w:val="0"/>
                <w:sz w:val="20"/>
                <w:szCs w:val="20"/>
              </w:rPr>
            </w:pPr>
            <w:r>
              <w:rPr>
                <w:rFonts w:ascii="TimesNewRomanPSMT" w:eastAsia="Times New Roman" w:hAnsi="TimesNewRomanPSMT" w:cs="Times New Roman"/>
                <w:kern w:val="0"/>
                <w:sz w:val="20"/>
                <w:szCs w:val="20"/>
              </w:rPr>
              <w:t>2</w:t>
            </w:r>
          </w:p>
          <w:p w:rsidR="003D4A69" w:rsidRDefault="003D4A69">
            <w:pPr>
              <w:spacing w:after="0" w:line="240" w:lineRule="auto"/>
              <w:rPr>
                <w:rFonts w:ascii="TimesNewRomanPSMT" w:eastAsia="Times New Roman" w:hAnsi="TimesNewRomanPSMT" w:cs="Times New Roman"/>
                <w:kern w:val="0"/>
                <w:sz w:val="20"/>
                <w:szCs w:val="20"/>
              </w:rPr>
            </w:pPr>
            <w:r>
              <w:rPr>
                <w:rFonts w:ascii="TimesNewRomanPSMT" w:eastAsia="Times New Roman" w:hAnsi="TimesNewRomanPSMT" w:cs="Times New Roman"/>
                <w:kern w:val="0"/>
                <w:sz w:val="20"/>
                <w:szCs w:val="20"/>
              </w:rPr>
              <w:t xml:space="preserve">- Trường hợp các cơ sở không bảo đảm yêu cầu về PCCC hoạt động từ năm 2001 đến trước ngày 01/7/2025 (cơ sở không có khả năng khắc phục theo các quy định của tiêu chuẩn, quy chuẩn kỹ thuật tại thời điểm đưa vào hoạt động): Cơ sở căn cứ vào hiện trạng kiến trúc, kết cấu, công năng, thiết bị, dây chuyền sản xuất, nội dung không bảo đảm yêu cầu về PCCC để </w:t>
            </w:r>
            <w:r>
              <w:rPr>
                <w:rFonts w:ascii="TimesNewRomanPSMT" w:eastAsia="Times New Roman" w:hAnsi="TimesNewRomanPSMT" w:cs="Times New Roman"/>
                <w:kern w:val="0"/>
                <w:sz w:val="20"/>
                <w:szCs w:val="20"/>
              </w:rPr>
              <w:lastRenderedPageBreak/>
              <w:t>lựa chọn giải pháp kỹ thuật nâng cao an toàn PCCC tương ứng do Bộ Xây dựng, Bộ Công thương đã ban hành, tổ chức thực hiện khắc phục theo các giải pháp kỹ thuật đã lựa chọn và thực hiện xong trước ngày 01/7/2028; Không yêu cầu cơ sở phải áp dụng đầy đủ các quy định của tiêu chuẩn, quy chuẩn kỹ thuật mà lựa chọn áp dụng giải pháp theo hướng dẫn của Bộ Xây dựng, Bộ Công Thương và Bộ Công an đã ban hành kèm theo Quyết định số 1074/QĐ-BXD ngày 29/6/2026 của Bộ Xây dựng và và Quyết định số 609/QĐ-BCT ngày 01/7/2026 của Bộ Công Thương.</w:t>
            </w:r>
          </w:p>
          <w:p w:rsidR="003D4A69" w:rsidRDefault="003D4A69">
            <w:pPr>
              <w:spacing w:after="0" w:line="240" w:lineRule="auto"/>
              <w:rPr>
                <w:rFonts w:eastAsia="Times New Roman" w:cs="Times New Roman"/>
                <w:kern w:val="0"/>
                <w:sz w:val="20"/>
                <w:szCs w:val="20"/>
                <w:lang w:eastAsia="vi-VN"/>
              </w:rPr>
            </w:pPr>
            <w:r>
              <w:rPr>
                <w:rFonts w:ascii="TimesNewRomanPSMT" w:eastAsia="Times New Roman" w:hAnsi="TimesNewRomanPSMT" w:cs="Times New Roman"/>
                <w:i/>
                <w:color w:val="FF0000"/>
                <w:kern w:val="0"/>
                <w:sz w:val="20"/>
                <w:szCs w:val="20"/>
              </w:rPr>
              <w:t>Hiện nay, Bộ Tài chính chưa nhận được công văn trả lời Hiệp hội của Bộ Công an.</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8</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Hiệp Hội Doanh Nghiệp Anh Quốc Tại Việt Nam (BritCham </w:t>
            </w:r>
            <w:r>
              <w:rPr>
                <w:rFonts w:eastAsia="Times New Roman" w:cs="Times New Roman"/>
                <w:color w:val="000000"/>
                <w:kern w:val="0"/>
                <w:sz w:val="24"/>
                <w:lang w:val="vi-VN" w:eastAsia="vi-VN"/>
              </w:rPr>
              <w:lastRenderedPageBreak/>
              <w:t>Vietnam)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lastRenderedPageBreak/>
              <w:t xml:space="preserve">Vướng mắc cấp phép sản phẩm, phân phối chứng chỉ quỹ và sản phẩm Banca của </w:t>
            </w:r>
            <w:r>
              <w:rPr>
                <w:rFonts w:eastAsia="Times New Roman" w:cs="Times New Roman"/>
                <w:bCs/>
                <w:color w:val="000000"/>
                <w:kern w:val="0"/>
                <w:sz w:val="24"/>
                <w:lang w:val="vi-VN" w:eastAsia="vi-VN"/>
              </w:rPr>
              <w:lastRenderedPageBreak/>
              <w:t>ngân hàng</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lastRenderedPageBreak/>
              <w:t xml:space="preserve">Bãi bỏ yêu cầu xác nhận của cơ quan quản lý nước ngân hàng mẹ, chỉ đánh giá năng lực của chi nhánh tại Việt Nam; </w:t>
            </w:r>
            <w:r>
              <w:rPr>
                <w:rFonts w:eastAsia="Times New Roman" w:cs="Times New Roman"/>
                <w:color w:val="000000"/>
                <w:kern w:val="0"/>
                <w:sz w:val="24"/>
                <w:lang w:val="vi-VN" w:eastAsia="vi-VN"/>
              </w:rPr>
              <w:lastRenderedPageBreak/>
              <w:t>cho phép ngân hàng thương mại đủ điều kiện phân phối chứng chỉ quỹ; bổ sung dịch vụ quản lý quỹ, đại lý chuyển nhượng vào Thông tư 34; hướng dẫn thực thi Điều 15.5 theo hướng không hạn chế quyền lợi hợp pháp của khách hàng.</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lastRenderedPageBreak/>
              <w:t>Ngân hàng Nhà nước Việt Nam</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kern w:val="0"/>
                <w:sz w:val="20"/>
                <w:szCs w:val="20"/>
                <w:lang w:eastAsia="vi-VN"/>
              </w:rPr>
            </w:pPr>
            <w:r>
              <w:rPr>
                <w:rFonts w:ascii="TimesNewRomanPSMT" w:eastAsia="Times New Roman" w:hAnsi="TimesNewRomanPSMT" w:cs="Times New Roman"/>
                <w:i/>
                <w:color w:val="FF0000"/>
                <w:kern w:val="0"/>
                <w:sz w:val="20"/>
                <w:szCs w:val="20"/>
              </w:rPr>
              <w:t>Hiện nay, Bộ Tài chính chưa nhận được công văn trả lời Hiệp hội của Ngân hàng Nhà nước Việt Nam.</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9</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Nhiều doanh nghiệp và hiệp hội (trong đó có AmCham)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Truy xuất nguồn gốc chồng chéo, chưa phù hợp thông lệ quốc tế và chưa tính đến năng lực thích ứng của doanh nghiệp</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1) Thống nhất một hệ thống truy xuất nguồn gốc; chỉ áp dụng bắt buộc (truy xuất nâng cao) cho hàng rủi ro cao và không áp dụng cho hàng xuất khẩu. </w:t>
            </w:r>
          </w:p>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 2) Công nhận mã GS1 quốc tế và các hệ thống quản lý/truy xuất đã được chứng nhận quốc tế (FSSC 22000, HACCP, ISO 22000) để tránh chồng chéo, không bắt doanh nghiệp đã có hệ thống phải làm lại. </w:t>
            </w:r>
          </w:p>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lastRenderedPageBreak/>
              <w:t xml:space="preserve"> 3) Điều chỉnh yêu cầu cập nhật dữ liệu linh hoạt (bỏ yêu cầu 24 giờ với thao tác chuyển kho, bán lẻ); bổ sung sữa và thủy sản chế biến vào danh mục miễn kiểm dịch lặp. </w:t>
            </w:r>
          </w:p>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 4) Thực hiện đánh giá tác động đầy đủ và tham vấn doanh nghiệp rộng rãi trước khi ban hành; xây dựng lộ trình phù hợp năng lực thích ứng (xem nguyên tắc nền tại Mục I).</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lastRenderedPageBreak/>
              <w:t xml:space="preserve">Bộ Công Thương (Cục Hóa chất), phối hợp Bộ Y tế. </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ascii="TimesNewRomanPSMT" w:eastAsia="Times New Roman" w:hAnsi="TimesNewRomanPSMT" w:cs="Times New Roman"/>
                <w:kern w:val="0"/>
                <w:sz w:val="20"/>
                <w:szCs w:val="20"/>
              </w:rPr>
            </w:pPr>
            <w:r>
              <w:rPr>
                <w:rFonts w:ascii="TimesNewRomanPSMT" w:eastAsia="Times New Roman" w:hAnsi="TimesNewRomanPSMT" w:cs="Times New Roman"/>
                <w:kern w:val="0"/>
                <w:sz w:val="20"/>
                <w:szCs w:val="20"/>
              </w:rPr>
              <w:t xml:space="preserve">Bộ Công Thương đã có công văn số 6289/BCT-KHTC gửi Bộ Tài chính về các nội dung trả Hiệp hội. </w:t>
            </w:r>
          </w:p>
          <w:p w:rsidR="003D4A69" w:rsidRDefault="003D4A69">
            <w:pPr>
              <w:spacing w:after="0" w:line="240" w:lineRule="auto"/>
              <w:rPr>
                <w:rFonts w:ascii="TimesNewRomanPSMT" w:eastAsia="Times New Roman" w:hAnsi="TimesNewRomanPSMT" w:cs="Times New Roman"/>
                <w:i/>
                <w:color w:val="FF0000"/>
                <w:kern w:val="0"/>
                <w:sz w:val="20"/>
                <w:szCs w:val="20"/>
              </w:rPr>
            </w:pPr>
          </w:p>
          <w:p w:rsidR="003D4A69" w:rsidRDefault="003D4A69">
            <w:pPr>
              <w:spacing w:after="0" w:line="240" w:lineRule="auto"/>
              <w:rPr>
                <w:rFonts w:eastAsia="Times New Roman" w:cs="Times New Roman"/>
                <w:i/>
                <w:color w:val="FF0000"/>
                <w:kern w:val="0"/>
                <w:sz w:val="20"/>
                <w:szCs w:val="20"/>
                <w:lang w:eastAsia="vi-VN"/>
              </w:rPr>
            </w:pPr>
            <w:r>
              <w:rPr>
                <w:rFonts w:ascii="TimesNewRomanPSMT" w:eastAsia="Times New Roman" w:hAnsi="TimesNewRomanPSMT" w:cs="Times New Roman"/>
                <w:i/>
                <w:color w:val="FF0000"/>
                <w:kern w:val="0"/>
                <w:sz w:val="20"/>
                <w:szCs w:val="20"/>
              </w:rPr>
              <w:t>Tuy nhiên, Bộ Tài chính chưa nhận được công văn trả lời KoCham của Bộ Công Thương theo quy định.</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10</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AmCham </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Chồng chéo quản lý hóa chất đối với phụ gia, hương liệu và chất hỗ trợ chế biến thực phẩm</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Điều chỉnh Điều 3 Nghị định 26/2026 để thống nhất Bộ Y tế quản lý hóa chất dùng làm phụ gia, hương liệu, chất hỗ trợ chế biến thực phẩm; bổ sung vào khoản 5 Điều 23 quy định không áp dụng đăng ký hóa chất mới đối với thực phẩm, nguyên liệu, phụ gia, </w:t>
            </w:r>
            <w:r>
              <w:rPr>
                <w:rFonts w:eastAsia="Times New Roman" w:cs="Times New Roman"/>
                <w:color w:val="000000"/>
                <w:kern w:val="0"/>
                <w:sz w:val="24"/>
                <w:lang w:val="vi-VN" w:eastAsia="vi-VN"/>
              </w:rPr>
              <w:lastRenderedPageBreak/>
              <w:t>hương liệu, enzyme thực phẩm và các chất chỉ dùng trong sản xuất, chế biến, bảo quản thực phẩm – được quản lý theo Luật An toàn thực phẩm.</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lastRenderedPageBreak/>
              <w:t>Bộ Công Thương (Cục Hóa chất), phối hợp Bộ Y tế.</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ascii="TimesNewRomanPSMT" w:eastAsia="Times New Roman" w:hAnsi="TimesNewRomanPSMT" w:cs="Times New Roman"/>
                <w:kern w:val="0"/>
                <w:sz w:val="20"/>
                <w:szCs w:val="20"/>
              </w:rPr>
            </w:pPr>
            <w:r>
              <w:rPr>
                <w:rFonts w:ascii="TimesNewRomanPSMT" w:eastAsia="Times New Roman" w:hAnsi="TimesNewRomanPSMT" w:cs="Times New Roman"/>
                <w:kern w:val="0"/>
                <w:sz w:val="20"/>
                <w:szCs w:val="20"/>
              </w:rPr>
              <w:t xml:space="preserve">Bộ Công Thương đã có công văn số 6289/BCT-KHTC gửi Bộ Tài chính về các nội dung trả Hiệp hội. </w:t>
            </w:r>
          </w:p>
          <w:p w:rsidR="003D4A69" w:rsidRDefault="003D4A69">
            <w:pPr>
              <w:spacing w:after="0" w:line="240" w:lineRule="auto"/>
              <w:rPr>
                <w:rFonts w:ascii="TimesNewRomanPSMT" w:eastAsia="Times New Roman" w:hAnsi="TimesNewRomanPSMT" w:cs="Times New Roman"/>
                <w:i/>
                <w:color w:val="FF0000"/>
                <w:kern w:val="0"/>
                <w:sz w:val="20"/>
                <w:szCs w:val="20"/>
              </w:rPr>
            </w:pPr>
          </w:p>
          <w:p w:rsidR="003D4A69" w:rsidRDefault="003D4A69">
            <w:pPr>
              <w:spacing w:after="0" w:line="240" w:lineRule="auto"/>
              <w:rPr>
                <w:rFonts w:eastAsia="Times New Roman" w:cs="Times New Roman"/>
                <w:i/>
                <w:color w:val="FF0000"/>
                <w:kern w:val="0"/>
                <w:sz w:val="20"/>
                <w:szCs w:val="20"/>
                <w:lang w:eastAsia="vi-VN"/>
              </w:rPr>
            </w:pPr>
            <w:r>
              <w:rPr>
                <w:rFonts w:ascii="TimesNewRomanPSMT" w:eastAsia="Times New Roman" w:hAnsi="TimesNewRomanPSMT" w:cs="Times New Roman"/>
                <w:i/>
                <w:color w:val="FF0000"/>
                <w:kern w:val="0"/>
                <w:sz w:val="20"/>
                <w:szCs w:val="20"/>
              </w:rPr>
              <w:t>Tuy nhiên, Bộ Tài chính chưa nhận được công văn trả lời KoCham của Bộ Công Thương theo quy định.</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11</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val="vi-VN" w:eastAsia="vi-VN"/>
              </w:rPr>
              <w:t>Hiệp Hội Doanh Nghiệp Anh Quốc Tại Việt Nam (BritCham Vietnam</w:t>
            </w:r>
            <w:r>
              <w:rPr>
                <w:rFonts w:eastAsia="Times New Roman" w:cs="Times New Roman"/>
                <w:color w:val="000000"/>
                <w:kern w:val="0"/>
                <w:sz w:val="24"/>
                <w:lang w:eastAsia="vi-VN"/>
              </w:rPr>
              <w:t>)</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Thực thi quyền sở hữu trí tuệ còn yếu và thiếu nhất quán</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Ban hành nghị định, thông tư hướng dẫn chi tiết; tăng năng lực lực lượng thực thi; thành lập cơ chế điều phối thực thi tập trung; tăng cường kiểm soát biên giới và hải quan; nâng hiệu quả hệ thống tư pháp xử lý tranh chấp.</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Khoa học và Công nghệ, Bộ Công Thương, Bộ Công an.</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ascii="TimesNewRomanPSMT" w:eastAsia="Times New Roman" w:hAnsi="TimesNewRomanPSMT" w:cs="Times New Roman"/>
                <w:kern w:val="0"/>
                <w:sz w:val="20"/>
                <w:szCs w:val="20"/>
              </w:rPr>
            </w:pPr>
            <w:r>
              <w:rPr>
                <w:rFonts w:ascii="TimesNewRomanPSMT" w:eastAsia="Times New Roman" w:hAnsi="TimesNewRomanPSMT" w:cs="Times New Roman"/>
                <w:b/>
                <w:kern w:val="0"/>
                <w:sz w:val="20"/>
                <w:szCs w:val="20"/>
              </w:rPr>
              <w:t>Bộ Công an</w:t>
            </w:r>
            <w:r>
              <w:rPr>
                <w:rFonts w:ascii="TimesNewRomanPSMT" w:eastAsia="Times New Roman" w:hAnsi="TimesNewRomanPSMT" w:cs="Times New Roman"/>
                <w:kern w:val="0"/>
                <w:sz w:val="20"/>
                <w:szCs w:val="20"/>
              </w:rPr>
              <w:t xml:space="preserve">: Thời gian qua, thực hiện Nghị quyết số 397/NQ-CP ngày 05/12/2025 của Chính phủ ban hành Kế hoạch hành động về đấu tranh ngăn chặn, đẩy lùi tình trạng buôn lậu, gian lận thương mại, hàng giả, xâm phạm quyền sở hữu trí tuệ đến năm 2030; Chỉ thị số 02/CT-TTg ngày 30/01/2026 của Thủ tướng Chính phủ về tăng cường thực thi quyền sở hữu trí tuệ, Bộ Công an đã tập trung đấu tranh với các hành vi xâm phạm quyền sở hữu trí tuệ, hoạt động liên tỉnh, xuyên biên giới, nhất là trên không gian mạng; đồng thời phối hợp các cơ quan liên quan tham gia hoàn thiện cơ chế, chính sách nhằm tháo gỡ những khó khăn, vướng mắc </w:t>
            </w:r>
            <w:r>
              <w:rPr>
                <w:rFonts w:ascii="TimesNewRomanPSMT" w:eastAsia="Times New Roman" w:hAnsi="TimesNewRomanPSMT" w:cs="Times New Roman"/>
                <w:kern w:val="0"/>
                <w:sz w:val="20"/>
                <w:szCs w:val="20"/>
              </w:rPr>
              <w:lastRenderedPageBreak/>
              <w:t>từ thực tiễn.</w:t>
            </w:r>
          </w:p>
          <w:p w:rsidR="003D4A69" w:rsidRDefault="003D4A69">
            <w:pPr>
              <w:spacing w:after="0" w:line="240" w:lineRule="auto"/>
              <w:rPr>
                <w:rFonts w:ascii="TimesNewRomanPSMT" w:eastAsia="Times New Roman" w:hAnsi="TimesNewRomanPSMT" w:cs="Times New Roman"/>
                <w:kern w:val="0"/>
                <w:sz w:val="20"/>
                <w:szCs w:val="20"/>
              </w:rPr>
            </w:pPr>
            <w:r>
              <w:rPr>
                <w:rFonts w:ascii="TimesNewRomanPSMT" w:eastAsia="Times New Roman" w:hAnsi="TimesNewRomanPSMT" w:cs="Times New Roman"/>
                <w:kern w:val="0"/>
                <w:sz w:val="20"/>
                <w:szCs w:val="20"/>
              </w:rPr>
              <w:t>Bên cạnh đó, việc ban hành, sửa đổi các văn bản quy phạm pháp luật liên quan sở hữu trí tuệ, Chính phủ đang giao Bộ Khoa học và Công nghệ chủ trì; về nội dung kiểm soát biên giới về thực thi quyền sở hữu trí tuệ Chính phủ đang giao Bộ Tài chính đề xuất xử lý; việc xử lý bằng biện pháp dân sự về sở hữu trí tuệ đang được giao cho Tòa án nhân dân tối cao xử lý1. Do đó, Bộ Công an sẽ phối hợp, tham gia ý kiến đối với các nội dung liên quan đến công tác đảm bảo an ninh quốc gia, trật tự, an toàn xã hội có liên quan đến sở hữu trí tuệ.</w:t>
            </w:r>
          </w:p>
          <w:p w:rsidR="003D4A69" w:rsidRDefault="003D4A69">
            <w:pPr>
              <w:spacing w:after="0" w:line="240" w:lineRule="auto"/>
              <w:rPr>
                <w:rFonts w:ascii="TimesNewRomanPSMT" w:eastAsia="Times New Roman" w:hAnsi="TimesNewRomanPSMT" w:cs="Times New Roman"/>
                <w:kern w:val="0"/>
                <w:sz w:val="20"/>
                <w:szCs w:val="20"/>
              </w:rPr>
            </w:pPr>
          </w:p>
          <w:p w:rsidR="003D4A69" w:rsidRDefault="003D4A69">
            <w:pPr>
              <w:spacing w:after="0" w:line="240" w:lineRule="auto"/>
              <w:rPr>
                <w:rFonts w:ascii="TimesNewRomanPSMT" w:eastAsia="Times New Roman" w:hAnsi="TimesNewRomanPSMT" w:cs="Times New Roman"/>
                <w:b/>
                <w:kern w:val="0"/>
                <w:sz w:val="20"/>
                <w:szCs w:val="20"/>
              </w:rPr>
            </w:pPr>
            <w:r>
              <w:rPr>
                <w:rFonts w:ascii="TimesNewRomanPSMT" w:eastAsia="Times New Roman" w:hAnsi="TimesNewRomanPSMT" w:cs="Times New Roman"/>
                <w:b/>
                <w:kern w:val="0"/>
                <w:sz w:val="20"/>
                <w:szCs w:val="20"/>
              </w:rPr>
              <w:t xml:space="preserve">Bộ Công thương: </w:t>
            </w:r>
            <w:r>
              <w:rPr>
                <w:rStyle w:val="fontstyle01"/>
                <w:sz w:val="20"/>
                <w:szCs w:val="20"/>
              </w:rPr>
              <w:t xml:space="preserve">Ngày 03/8/2026, Bộ Công Thương đã phối hợp với các đơn vị liên quan trong Bộ làm việc trực tiếp với BritCham. Bộ Công Thương ghi nhận các khuyến nghị và tiếp tục cải thiện khuôn khổ thể chế thuộc thẩm quyền; đối với các kiến nghị liên quan đến liên kết bằng sáng chế dược </w:t>
            </w:r>
            <w:r>
              <w:rPr>
                <w:rStyle w:val="fontstyle01"/>
                <w:sz w:val="20"/>
                <w:szCs w:val="20"/>
              </w:rPr>
              <w:lastRenderedPageBreak/>
              <w:t>phẩm và cải cách thể chế thuộc thẩm quyền của Bộ KH&amp;CN và Bộ Y tế, hai bên thống nhất doanh nghiệp kiến nghị trực tiếp đến hai Bộ này, Bộ Công Thương sẽ tiếp tục phối hợp khi có yêu cầu.</w:t>
            </w:r>
            <w:r>
              <w:rPr>
                <w:sz w:val="20"/>
                <w:szCs w:val="20"/>
              </w:rPr>
              <w:t xml:space="preserve"> </w:t>
            </w:r>
            <w:r>
              <w:rPr>
                <w:rFonts w:ascii="TimesNewRomanPSMT" w:eastAsia="Times New Roman" w:hAnsi="TimesNewRomanPSMT" w:cs="Times New Roman"/>
                <w:b/>
                <w:kern w:val="0"/>
                <w:sz w:val="20"/>
                <w:szCs w:val="20"/>
              </w:rPr>
              <w:t xml:space="preserve"> </w:t>
            </w:r>
          </w:p>
          <w:p w:rsidR="003D4A69" w:rsidRDefault="003D4A69">
            <w:pPr>
              <w:spacing w:after="0" w:line="240" w:lineRule="auto"/>
              <w:rPr>
                <w:rFonts w:eastAsia="Times New Roman" w:cs="Times New Roman"/>
                <w:kern w:val="0"/>
                <w:sz w:val="20"/>
                <w:szCs w:val="20"/>
                <w:lang w:eastAsia="vi-VN"/>
              </w:rPr>
            </w:pPr>
            <w:r>
              <w:rPr>
                <w:rFonts w:ascii="TimesNewRomanPSMT" w:eastAsia="Times New Roman" w:hAnsi="TimesNewRomanPSMT" w:cs="Times New Roman"/>
                <w:i/>
                <w:color w:val="FF0000"/>
                <w:kern w:val="0"/>
                <w:sz w:val="20"/>
                <w:szCs w:val="20"/>
              </w:rPr>
              <w:t>Hiện nay, Bộ Tài chính chưa nhận được công văn trả lời Hiệp hội của các cơ quan chuyên môn</w:t>
            </w:r>
          </w:p>
          <w:p w:rsidR="003D4A69" w:rsidRDefault="003D4A69">
            <w:pPr>
              <w:spacing w:after="0" w:line="240" w:lineRule="auto"/>
              <w:rPr>
                <w:rFonts w:eastAsia="Times New Roman" w:cs="Times New Roman"/>
                <w:b/>
                <w:kern w:val="0"/>
                <w:sz w:val="20"/>
                <w:szCs w:val="20"/>
                <w:lang w:eastAsia="vi-VN"/>
              </w:rPr>
            </w:pP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12</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Hiệp hội Doanh nghiệp Nhật Bản tại Việt Nam (JCCI)</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Rào cản từ sự lạc hậu và thiếu đồng bộ của bảng danh mục mã ngành nghề quốc gia trong thủ tục cấp Giấy phép lao động</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Kiến nghị Chính phủ chỉ đạo Bộ Nội vụ bổ sung điều khoản hướng dẫn hành chính linh hoạt: cho phép các doanh nghiệp được áp dụng mã ngành nghề mở rộng thuộc danh mục "Các công việc khác chưa được phân loại" (Other occupations), đi kèm bản mô tả chi tiết chức danh và nghĩa vụ công việc thực tế trong trường hợp hệ thống danh mục quốc gia chưa kịp cập </w:t>
            </w:r>
            <w:r>
              <w:rPr>
                <w:rFonts w:eastAsia="Times New Roman" w:cs="Times New Roman"/>
                <w:color w:val="000000"/>
                <w:kern w:val="0"/>
                <w:sz w:val="24"/>
                <w:lang w:val="vi-VN" w:eastAsia="vi-VN"/>
              </w:rPr>
              <w:lastRenderedPageBreak/>
              <w:t>nhật công nghệ mới.</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Nội vụ chủ trì phối hợp với Bộ Khoa học và Công nghệ.</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Bộ Nội vụ chủ trì phối hợp với Bộ Khoa học và Công nghệ rà soát, nghiên cứu, báo cáo cấp có thẩm quyền sửa đổi, bổ sung quy định pháp luật có liên quan.</w:t>
            </w:r>
          </w:p>
          <w:p w:rsidR="003D4A69" w:rsidRDefault="003D4A69">
            <w:pPr>
              <w:spacing w:after="0" w:line="240" w:lineRule="auto"/>
              <w:rPr>
                <w:rFonts w:eastAsia="Times New Roman" w:cs="Times New Roman"/>
                <w:kern w:val="0"/>
                <w:sz w:val="20"/>
                <w:szCs w:val="20"/>
                <w:lang w:eastAsia="vi-VN"/>
              </w:rPr>
            </w:pPr>
          </w:p>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(Dự thảo Nghị định sửa đổi, bổ sung Nghị định số 219/2025/NĐ-CP và Quyết định số 34/2020/QĐ-TTg của Thủ tướng Chính phủ).</w:t>
            </w:r>
          </w:p>
          <w:p w:rsidR="003D4A69" w:rsidRDefault="003D4A69">
            <w:pPr>
              <w:spacing w:after="0" w:line="240" w:lineRule="auto"/>
              <w:rPr>
                <w:rFonts w:eastAsia="Times New Roman" w:cs="Times New Roman"/>
                <w:kern w:val="0"/>
                <w:sz w:val="20"/>
                <w:szCs w:val="20"/>
                <w:lang w:eastAsia="vi-VN"/>
              </w:rPr>
            </w:pPr>
            <w:r>
              <w:rPr>
                <w:rFonts w:ascii="TimesNewRomanPSMT" w:eastAsia="Times New Roman" w:hAnsi="TimesNewRomanPSMT" w:cs="Times New Roman"/>
                <w:i/>
                <w:color w:val="FF0000"/>
                <w:kern w:val="0"/>
                <w:sz w:val="20"/>
                <w:szCs w:val="20"/>
              </w:rPr>
              <w:t>Hiện nay, Bộ Tài chính chưa nhận được công văn trả lời Hiệp hội của các cơ quan chuyên môn</w:t>
            </w:r>
          </w:p>
          <w:p w:rsidR="003D4A69" w:rsidRDefault="003D4A69">
            <w:pPr>
              <w:spacing w:after="0" w:line="240" w:lineRule="auto"/>
              <w:rPr>
                <w:rFonts w:eastAsia="Times New Roman" w:cs="Times New Roman"/>
                <w:kern w:val="0"/>
                <w:sz w:val="20"/>
                <w:szCs w:val="20"/>
                <w:lang w:eastAsia="vi-VN"/>
              </w:rPr>
            </w:pP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13</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val="vi-VN" w:eastAsia="vi-VN"/>
              </w:rPr>
              <w:t>Canon</w:t>
            </w:r>
            <w:r>
              <w:rPr>
                <w:rFonts w:eastAsia="Times New Roman" w:cs="Times New Roman"/>
                <w:color w:val="000000"/>
                <w:kern w:val="0"/>
                <w:sz w:val="24"/>
                <w:lang w:eastAsia="vi-VN"/>
              </w:rPr>
              <w:t xml:space="preserve"> Việt Nam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Quan trắc môi trường lao động và mức đóng bảo hiểm tai nạn lao động</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Sửa quy định phù hợp năng lực đo kiểm tại Việt Nam, trước mắt cho phép chỉ đo kiểm các yếu tố khả thi; phân loại mức đóng bảo hiểm tai nạn lao động theo phân loại lao động hoặc mức độ rủi ro của doanh nghiệp.</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Nội vụ</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Bộ Nội vụ rà soát, nghiên cứu, báo cáo cấp có thẩm quyền sửa đổi, bổ sung quy định pháp luật có liên quan.</w:t>
            </w:r>
          </w:p>
          <w:p w:rsidR="003D4A69" w:rsidRDefault="003D4A69">
            <w:pPr>
              <w:spacing w:after="0" w:line="240" w:lineRule="auto"/>
              <w:rPr>
                <w:rFonts w:eastAsia="Times New Roman" w:cs="Times New Roman"/>
                <w:kern w:val="0"/>
                <w:sz w:val="20"/>
                <w:szCs w:val="20"/>
                <w:lang w:eastAsia="vi-VN"/>
              </w:rPr>
            </w:pPr>
          </w:p>
          <w:p w:rsidR="003D4A69" w:rsidRDefault="003D4A69">
            <w:pPr>
              <w:spacing w:after="0" w:line="240" w:lineRule="auto"/>
              <w:rPr>
                <w:rFonts w:eastAsia="Times New Roman" w:cs="Times New Roman"/>
                <w:kern w:val="0"/>
                <w:sz w:val="20"/>
                <w:szCs w:val="20"/>
                <w:lang w:eastAsia="vi-VN"/>
              </w:rPr>
            </w:pPr>
            <w:r>
              <w:rPr>
                <w:rFonts w:eastAsia="Times New Roman" w:cs="Times New Roman"/>
                <w:kern w:val="0"/>
                <w:sz w:val="20"/>
                <w:szCs w:val="20"/>
                <w:lang w:eastAsia="vi-VN"/>
              </w:rPr>
              <w:t>(Luật An toàn vệ sinh lao động 2015; Thông tư 07/2016/TT-BLĐTBXH; Thông tư 11/2020).</w:t>
            </w:r>
          </w:p>
          <w:p w:rsidR="003D4A69" w:rsidRDefault="003D4A69">
            <w:pPr>
              <w:spacing w:after="0" w:line="240" w:lineRule="auto"/>
              <w:rPr>
                <w:rFonts w:eastAsia="Times New Roman" w:cs="Times New Roman"/>
                <w:kern w:val="0"/>
                <w:sz w:val="20"/>
                <w:szCs w:val="20"/>
                <w:lang w:eastAsia="vi-VN"/>
              </w:rPr>
            </w:pPr>
            <w:r>
              <w:rPr>
                <w:rFonts w:ascii="TimesNewRomanPSMT" w:eastAsia="Times New Roman" w:hAnsi="TimesNewRomanPSMT" w:cs="Times New Roman"/>
                <w:i/>
                <w:color w:val="FF0000"/>
                <w:kern w:val="0"/>
                <w:sz w:val="20"/>
                <w:szCs w:val="20"/>
              </w:rPr>
              <w:t>Hiện nay, Bộ Tài chính chưa nhận được công văn trả lời doanh nghiệp của các cơ quan chuyên môn</w:t>
            </w:r>
          </w:p>
          <w:p w:rsidR="003D4A69" w:rsidRDefault="003D4A69">
            <w:pPr>
              <w:spacing w:after="0" w:line="240" w:lineRule="auto"/>
              <w:rPr>
                <w:rFonts w:eastAsia="Times New Roman" w:cs="Times New Roman"/>
                <w:kern w:val="0"/>
                <w:sz w:val="20"/>
                <w:szCs w:val="20"/>
                <w:lang w:eastAsia="vi-VN"/>
              </w:rPr>
            </w:pP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t>14</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Hiệp hội Giấy và Bột giấy Việt Nam (VPPA)</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Ký quỹ nhập khẩu phế liệu và thúc đẩy kinh tế tuần hoàn trong ngành giấy</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Giảm tỷ lệ ký quỹ xuống tối đa 5% và cho phép bảo lãnh ngân hàng thay thế; áp dụng quản lý theo mức độ rủi ro (miễn ký quỹ, hậu kiểm cho doanh nghiệp tuân thủ tốt); coi giấy phế liệu là nguyên liệu thứ cấp; cho phép doanh nghiệp nộp </w:t>
            </w:r>
            <w:r>
              <w:rPr>
                <w:rFonts w:eastAsia="Times New Roman" w:cs="Times New Roman"/>
                <w:color w:val="000000"/>
                <w:kern w:val="0"/>
                <w:sz w:val="24"/>
                <w:lang w:val="vi-VN" w:eastAsia="vi-VN"/>
              </w:rPr>
              <w:lastRenderedPageBreak/>
              <w:t>thuế thay cá nhân thu gom nhỏ lẻ với mức 1% GTGT và 0,5% TNDN, tính vào chi phí hợp lý; xác minh tại trụ sở doanh nghiệp, không tại nhà riêng người đại diện trừ khi thật cần thiết.</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Nông nghiệp và Môi trường, Bộ Tài chính, Bộ Công an.</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themeColor="text1"/>
                <w:kern w:val="0"/>
                <w:sz w:val="20"/>
                <w:szCs w:val="20"/>
                <w:lang w:eastAsia="vi-VN"/>
              </w:rPr>
            </w:pPr>
            <w:r>
              <w:rPr>
                <w:rFonts w:eastAsia="Times New Roman" w:cs="Times New Roman"/>
                <w:color w:val="000000" w:themeColor="text1"/>
                <w:kern w:val="0"/>
                <w:sz w:val="20"/>
                <w:szCs w:val="20"/>
                <w:lang w:eastAsia="vi-VN"/>
              </w:rPr>
              <w:t>Bộ Nông nghiệp và Môi trường đã có công văn số 9071/BNNMT-KHTC ngày 10/8/2026, theo đó đã gửi VCCI nội dung trả lời kiến nghị để trả lời Hiệp hội.</w:t>
            </w:r>
          </w:p>
          <w:p w:rsidR="003D4A69" w:rsidRDefault="003D4A69">
            <w:pPr>
              <w:spacing w:after="0" w:line="240" w:lineRule="auto"/>
              <w:rPr>
                <w:rFonts w:eastAsia="Times New Roman" w:cs="Times New Roman"/>
                <w:color w:val="000000" w:themeColor="text1"/>
                <w:kern w:val="0"/>
                <w:sz w:val="20"/>
                <w:szCs w:val="20"/>
                <w:lang w:eastAsia="vi-VN"/>
              </w:rPr>
            </w:pPr>
            <w:r>
              <w:rPr>
                <w:rFonts w:eastAsia="Times New Roman" w:cs="Times New Roman"/>
                <w:color w:val="000000" w:themeColor="text1"/>
                <w:kern w:val="0"/>
                <w:sz w:val="20"/>
                <w:szCs w:val="20"/>
                <w:lang w:eastAsia="vi-VN"/>
              </w:rPr>
              <w:t>Tuy nhiên, Bộ Tài chính chưa nhận được văn bản trả lời Hiệp hội của Bộ Nông nghiệp và Môi trường.</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15</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Hiệp hội Giấy và Bột giấy Việt Nam</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Gánh nặng tài chính từ quy định ký quỹ nhập khẩu phế liệu làm nguyên liệu sản xuất</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Xem xét điều chỉnh giảm mức ký quỹ xuống còn 5- 10% đối với các doanh nghiệp có lịch sử tuân thủ môi trường tốt trong 03 năm liên tiếp; đồng thời thiết lập cơ chế hoàn trả ký quỹ tự động trong vòng 05 ngày làm việc sau khi hàng hóa được thông quan.</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Nông nghiệp và Môi trường</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themeColor="text1"/>
                <w:kern w:val="0"/>
                <w:sz w:val="20"/>
                <w:szCs w:val="20"/>
                <w:lang w:eastAsia="vi-VN"/>
              </w:rPr>
            </w:pPr>
            <w:r>
              <w:rPr>
                <w:rFonts w:eastAsia="Times New Roman" w:cs="Times New Roman"/>
                <w:color w:val="000000" w:themeColor="text1"/>
                <w:kern w:val="0"/>
                <w:sz w:val="20"/>
                <w:szCs w:val="20"/>
                <w:lang w:eastAsia="vi-VN"/>
              </w:rPr>
              <w:t>Bộ Nông nghiệp và Môi trường đã có công văn số 9071/BNNMT-KHTC ngày 10/8/2026, theo đó đã gửi VCCI nội dung trả lời kiến nghị để trả lời Hiệp hội.</w:t>
            </w:r>
          </w:p>
          <w:p w:rsidR="003D4A69" w:rsidRDefault="003D4A69">
            <w:pPr>
              <w:spacing w:after="0" w:line="240" w:lineRule="auto"/>
              <w:rPr>
                <w:rFonts w:eastAsia="Times New Roman" w:cs="Times New Roman"/>
                <w:i/>
                <w:color w:val="FF0000"/>
                <w:kern w:val="0"/>
                <w:sz w:val="20"/>
                <w:szCs w:val="20"/>
                <w:lang w:eastAsia="vi-VN"/>
              </w:rPr>
            </w:pPr>
            <w:r>
              <w:rPr>
                <w:rFonts w:eastAsia="Times New Roman" w:cs="Times New Roman"/>
                <w:color w:val="000000" w:themeColor="text1"/>
                <w:kern w:val="0"/>
                <w:sz w:val="20"/>
                <w:szCs w:val="20"/>
                <w:lang w:eastAsia="vi-VN"/>
              </w:rPr>
              <w:t>Tuy nhiên, Bộ Tài chính chưa nhận được văn bản trả lời Hiệp hội của Bộ Nông nghiệp và Môi trường.</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t>16</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val="vi-VN" w:eastAsia="vi-VN"/>
              </w:rPr>
              <w:t>Hiệp Hội Doanh Nghiệp Anh Quốc Tại Việt Nam (BritCham Vietnam</w:t>
            </w:r>
            <w:r>
              <w:rPr>
                <w:rFonts w:eastAsia="Times New Roman" w:cs="Times New Roman"/>
                <w:color w:val="000000"/>
                <w:kern w:val="0"/>
                <w:sz w:val="24"/>
                <w:lang w:eastAsia="vi-VN"/>
              </w:rPr>
              <w:t>)</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Thủ tục thay đổi nhãn hàng hóa khi đổi tên doanh nghiệp</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 xml:space="preserve">Kiến nghị cơ quan thẩm quyền cho phép áp dụng lộ trình chuyển tiếp hành chính kéo dài từ sáu đến mười hai tháng; cho phép doanh nghiệp được sử dụng các biện pháp </w:t>
            </w:r>
            <w:r>
              <w:rPr>
                <w:rFonts w:eastAsia="Times New Roman" w:cs="Times New Roman"/>
                <w:color w:val="000000"/>
                <w:kern w:val="0"/>
                <w:sz w:val="24"/>
                <w:lang w:val="vi-VN" w:eastAsia="vi-VN"/>
              </w:rPr>
              <w:lastRenderedPageBreak/>
              <w:t>kỹ thuật thay thế (như dán nhãn phụ cập nhật thông tin tên mới) trên vỏ bao bì cũ để tận dụng hết nguồn vật tư tồn kho.</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Bộ Khoa học và Công nghệ, Bộ Công Thương.</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ascii="TimesNewRomanPSMT" w:eastAsia="Times New Roman" w:hAnsi="TimesNewRomanPSMT" w:cs="Times New Roman"/>
                <w:i/>
                <w:color w:val="FF0000"/>
                <w:kern w:val="0"/>
                <w:sz w:val="20"/>
                <w:szCs w:val="20"/>
              </w:rPr>
              <w:t>Hiện nay, Bộ Tài chính chưa nhận được công văn trả lời Hiệp hội của các cơ quan chuyên môn</w:t>
            </w:r>
            <w:r>
              <w:rPr>
                <w:rFonts w:eastAsia="Times New Roman" w:cs="Times New Roman"/>
                <w:color w:val="000000"/>
                <w:kern w:val="0"/>
                <w:sz w:val="24"/>
                <w:lang w:eastAsia="vi-VN"/>
              </w:rPr>
              <w:t xml:space="preserve"> </w:t>
            </w:r>
          </w:p>
        </w:tc>
      </w:tr>
      <w:tr w:rsidR="003D4A69" w:rsidTr="003D4A69">
        <w:trPr>
          <w:trHeight w:val="1585"/>
        </w:trPr>
        <w:tc>
          <w:tcPr>
            <w:tcW w:w="708"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lastRenderedPageBreak/>
              <w:t>17</w:t>
            </w:r>
          </w:p>
        </w:tc>
        <w:tc>
          <w:tcPr>
            <w:tcW w:w="1686"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Doanh nghiệp ngành in</w:t>
            </w:r>
          </w:p>
        </w:tc>
        <w:tc>
          <w:tcPr>
            <w:tcW w:w="207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bCs/>
                <w:color w:val="000000"/>
                <w:kern w:val="0"/>
                <w:sz w:val="24"/>
                <w:lang w:val="vi-VN" w:eastAsia="vi-VN"/>
              </w:rPr>
            </w:pPr>
            <w:r>
              <w:rPr>
                <w:rFonts w:eastAsia="Times New Roman" w:cs="Times New Roman"/>
                <w:bCs/>
                <w:color w:val="000000"/>
                <w:kern w:val="0"/>
                <w:sz w:val="24"/>
                <w:lang w:val="vi-VN" w:eastAsia="vi-VN"/>
              </w:rPr>
              <w:t>Thủ tục nhập khẩu và cấp phép đối với máy photocopy, máy in màu kỹ thuật số</w:t>
            </w:r>
          </w:p>
        </w:tc>
        <w:tc>
          <w:tcPr>
            <w:tcW w:w="262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Bỏ Giấy phép kinh doanh và xuất nhập khẩu sản phẩm mật mã dân sự với máy in, photocopy thông dụng; bỏ kiểm tra hiệu suất năng lượng từng lô, công nhận kết quả đã thử nghiệm cho các lô sau.</w:t>
            </w:r>
          </w:p>
        </w:tc>
        <w:tc>
          <w:tcPr>
            <w:tcW w:w="155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Bộ Văn hóa, Thể thao và Du lịch, Ban Cơ yếu Chính phủ, Bộ Công Thương.</w:t>
            </w:r>
          </w:p>
        </w:tc>
        <w:tc>
          <w:tcPr>
            <w:tcW w:w="3969"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Tiếp tục nghiên cứu, xem xét báo cáo cấp có thẩm quyền.</w:t>
            </w:r>
          </w:p>
        </w:tc>
        <w:tc>
          <w:tcPr>
            <w:tcW w:w="2552"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ascii="TimesNewRomanPSMT" w:eastAsia="Times New Roman" w:hAnsi="TimesNewRomanPSMT" w:cs="Times New Roman"/>
                <w:i/>
                <w:color w:val="FF0000"/>
                <w:kern w:val="0"/>
                <w:sz w:val="20"/>
                <w:szCs w:val="20"/>
              </w:rPr>
              <w:t>Hiện nay, Bộ Tài chính chưa nhận được công văn trả lời Hiệp hội của các cơ quan chuyên môn</w:t>
            </w:r>
          </w:p>
        </w:tc>
      </w:tr>
    </w:tbl>
    <w:p w:rsidR="003D4A69" w:rsidRDefault="003D4A69" w:rsidP="003D4A69">
      <w:bookmarkStart w:id="0" w:name="_GoBack"/>
      <w:bookmarkEnd w:id="0"/>
    </w:p>
    <w:p w:rsidR="003D4A69" w:rsidRDefault="003D4A69" w:rsidP="003D4A69">
      <w:r>
        <w:tab/>
        <w:t>Tính đến hết ngày 12/8/2026, trên cơ sở tổng hợp các văn bản mà Bộ Tài chính nhận được của các Bộ, ngành, thực hiện Thông báo số 394/TB-VPCP của Văn phòng Chính phủ ngày 21/7/2026 về kết luận của Thủ tướng Chính phủ tại Hội nghị Thường trực Chính phủ với cộng đồng doanh nghiệp với chủ đề “Tháo gỡ điểm nghẽn - Khơi thông nguồn lực - Thúc đẩy tăng trưởng”, đối với các kiến nghị tại Phụ lục các khó khăn vướng mắc, kiến nghị đã xử lý, cần tiếp tục đôn đốc, chỉ đạo (37 nội dung), Bộ Tài chính xin được báo cáo như sau:</w:t>
      </w:r>
    </w:p>
    <w:tbl>
      <w:tblPr>
        <w:tblStyle w:val="TableGrid"/>
        <w:tblW w:w="12015" w:type="dxa"/>
        <w:tblInd w:w="421" w:type="dxa"/>
        <w:tblLayout w:type="fixed"/>
        <w:tblLook w:val="04A0" w:firstRow="1" w:lastRow="0" w:firstColumn="1" w:lastColumn="0" w:noHBand="0" w:noVBand="1"/>
      </w:tblPr>
      <w:tblGrid>
        <w:gridCol w:w="821"/>
        <w:gridCol w:w="2267"/>
        <w:gridCol w:w="2267"/>
        <w:gridCol w:w="1842"/>
        <w:gridCol w:w="2834"/>
        <w:gridCol w:w="1984"/>
      </w:tblGrid>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b/>
                <w:sz w:val="24"/>
                <w:lang w:val="vi-VN"/>
              </w:rPr>
            </w:pPr>
            <w:r>
              <w:rPr>
                <w:rFonts w:cs="Times New Roman"/>
                <w:b/>
                <w:sz w:val="24"/>
                <w:lang w:val="vi-VN"/>
              </w:rPr>
              <w:t>STT</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b/>
                <w:sz w:val="24"/>
                <w:lang w:val="vi-VN"/>
              </w:rPr>
            </w:pPr>
            <w:r>
              <w:rPr>
                <w:rFonts w:cs="Times New Roman"/>
                <w:b/>
                <w:sz w:val="24"/>
                <w:lang w:val="vi-VN"/>
              </w:rPr>
              <w:t>Bộ, cơ quan</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b/>
                <w:sz w:val="24"/>
                <w:lang w:val="vi-VN"/>
              </w:rPr>
            </w:pPr>
            <w:r>
              <w:rPr>
                <w:rFonts w:cs="Times New Roman"/>
                <w:b/>
                <w:sz w:val="24"/>
                <w:lang w:val="vi-VN"/>
              </w:rPr>
              <w:t>Tổng số kiến nghị</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b/>
                <w:sz w:val="24"/>
                <w:lang w:val="vi-VN"/>
              </w:rPr>
            </w:pPr>
            <w:r>
              <w:rPr>
                <w:rFonts w:cs="Times New Roman"/>
                <w:b/>
                <w:sz w:val="24"/>
                <w:lang w:val="vi-VN"/>
              </w:rPr>
              <w:t>Đã giải quyết</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b/>
                <w:sz w:val="24"/>
                <w:lang w:val="vi-VN"/>
              </w:rPr>
            </w:pPr>
            <w:r>
              <w:rPr>
                <w:rFonts w:cs="Times New Roman"/>
                <w:b/>
                <w:sz w:val="24"/>
                <w:lang w:val="vi-VN"/>
              </w:rPr>
              <w:t>Chưa nhận được ý kiến</w:t>
            </w:r>
          </w:p>
        </w:tc>
        <w:tc>
          <w:tcPr>
            <w:tcW w:w="198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b/>
                <w:sz w:val="24"/>
                <w:lang w:val="vi-VN"/>
              </w:rPr>
            </w:pPr>
            <w:r>
              <w:rPr>
                <w:rFonts w:cs="Times New Roman"/>
                <w:b/>
                <w:sz w:val="24"/>
                <w:lang w:val="vi-VN"/>
              </w:rPr>
              <w:t>Ghi chú</w:t>
            </w:r>
          </w:p>
        </w:tc>
      </w:tr>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sz w:val="24"/>
                <w:lang w:val="vi-VN"/>
              </w:rPr>
              <w:t>1</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i/>
                <w:sz w:val="24"/>
                <w:lang w:val="vi-VN"/>
              </w:rPr>
              <w:t>Bộ Tài chính</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11</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11</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0</w:t>
            </w:r>
          </w:p>
        </w:tc>
        <w:tc>
          <w:tcPr>
            <w:tcW w:w="1985" w:type="dxa"/>
            <w:tcBorders>
              <w:top w:val="single" w:sz="4" w:space="0" w:color="auto"/>
              <w:left w:val="single" w:sz="4" w:space="0" w:color="auto"/>
              <w:bottom w:val="single" w:sz="4" w:space="0" w:color="auto"/>
              <w:right w:val="single" w:sz="4" w:space="0" w:color="auto"/>
            </w:tcBorders>
          </w:tcPr>
          <w:p w:rsidR="003D4A69" w:rsidRDefault="003D4A69">
            <w:pPr>
              <w:jc w:val="center"/>
              <w:rPr>
                <w:rFonts w:cs="Times New Roman"/>
                <w:sz w:val="24"/>
                <w:lang w:val="vi-VN"/>
              </w:rPr>
            </w:pPr>
          </w:p>
        </w:tc>
      </w:tr>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sz w:val="24"/>
                <w:lang w:val="vi-VN"/>
              </w:rPr>
              <w:lastRenderedPageBreak/>
              <w:t>2</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i/>
                <w:sz w:val="24"/>
                <w:lang w:val="vi-VN"/>
              </w:rPr>
              <w:t>Bộ Công Thương</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6</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0</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6</w:t>
            </w:r>
          </w:p>
        </w:tc>
        <w:tc>
          <w:tcPr>
            <w:tcW w:w="1985" w:type="dxa"/>
            <w:tcBorders>
              <w:top w:val="single" w:sz="4" w:space="0" w:color="auto"/>
              <w:left w:val="single" w:sz="4" w:space="0" w:color="auto"/>
              <w:bottom w:val="single" w:sz="4" w:space="0" w:color="auto"/>
              <w:right w:val="single" w:sz="4" w:space="0" w:color="auto"/>
            </w:tcBorders>
          </w:tcPr>
          <w:p w:rsidR="003D4A69" w:rsidRDefault="003D4A69">
            <w:pPr>
              <w:jc w:val="center"/>
              <w:rPr>
                <w:rFonts w:cs="Times New Roman"/>
                <w:sz w:val="24"/>
                <w:lang w:val="vi-VN"/>
              </w:rPr>
            </w:pPr>
          </w:p>
        </w:tc>
      </w:tr>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sz w:val="24"/>
                <w:lang w:val="vi-VN"/>
              </w:rPr>
              <w:t>3</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i/>
                <w:sz w:val="24"/>
                <w:lang w:val="vi-VN"/>
              </w:rPr>
              <w:t>Bộ Xây dựng</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b/>
                <w:sz w:val="24"/>
              </w:rPr>
            </w:pPr>
            <w:r>
              <w:rPr>
                <w:rFonts w:cs="Times New Roman"/>
                <w:b/>
                <w:sz w:val="24"/>
              </w:rPr>
              <w:t>1</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b/>
                <w:sz w:val="24"/>
              </w:rPr>
            </w:pPr>
            <w:r>
              <w:rPr>
                <w:rFonts w:cs="Times New Roman"/>
                <w:b/>
                <w:sz w:val="24"/>
              </w:rPr>
              <w:t>0</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b/>
                <w:sz w:val="24"/>
              </w:rPr>
            </w:pPr>
            <w:r>
              <w:rPr>
                <w:rFonts w:cs="Times New Roman"/>
                <w:b/>
                <w:sz w:val="24"/>
              </w:rPr>
              <w:t>1</w:t>
            </w:r>
          </w:p>
        </w:tc>
        <w:tc>
          <w:tcPr>
            <w:tcW w:w="1985" w:type="dxa"/>
            <w:tcBorders>
              <w:top w:val="single" w:sz="4" w:space="0" w:color="auto"/>
              <w:left w:val="single" w:sz="4" w:space="0" w:color="auto"/>
              <w:bottom w:val="single" w:sz="4" w:space="0" w:color="auto"/>
              <w:right w:val="single" w:sz="4" w:space="0" w:color="auto"/>
            </w:tcBorders>
          </w:tcPr>
          <w:p w:rsidR="003D4A69" w:rsidRDefault="003D4A69">
            <w:pPr>
              <w:jc w:val="center"/>
              <w:rPr>
                <w:rFonts w:cs="Times New Roman"/>
                <w:b/>
                <w:sz w:val="24"/>
                <w:lang w:val="vi-VN"/>
              </w:rPr>
            </w:pPr>
          </w:p>
        </w:tc>
      </w:tr>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sz w:val="24"/>
                <w:lang w:val="vi-VN"/>
              </w:rPr>
              <w:t>4</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i/>
                <w:sz w:val="24"/>
                <w:lang w:val="vi-VN"/>
              </w:rPr>
              <w:t>Bộ Tư pháp</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2</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0</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2</w:t>
            </w:r>
          </w:p>
        </w:tc>
        <w:tc>
          <w:tcPr>
            <w:tcW w:w="1985" w:type="dxa"/>
            <w:tcBorders>
              <w:top w:val="single" w:sz="4" w:space="0" w:color="auto"/>
              <w:left w:val="single" w:sz="4" w:space="0" w:color="auto"/>
              <w:bottom w:val="single" w:sz="4" w:space="0" w:color="auto"/>
              <w:right w:val="single" w:sz="4" w:space="0" w:color="auto"/>
            </w:tcBorders>
          </w:tcPr>
          <w:p w:rsidR="003D4A69" w:rsidRDefault="003D4A69">
            <w:pPr>
              <w:jc w:val="center"/>
              <w:rPr>
                <w:rFonts w:cs="Times New Roman"/>
                <w:sz w:val="24"/>
                <w:lang w:val="vi-VN"/>
              </w:rPr>
            </w:pPr>
          </w:p>
        </w:tc>
      </w:tr>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sz w:val="24"/>
                <w:lang w:val="vi-VN"/>
              </w:rPr>
              <w:t>5</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i/>
                <w:sz w:val="24"/>
                <w:lang w:val="vi-VN"/>
              </w:rPr>
              <w:t>Ngân hàng Nhà nước Việt Nam</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2</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0</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2</w:t>
            </w:r>
          </w:p>
        </w:tc>
        <w:tc>
          <w:tcPr>
            <w:tcW w:w="1985" w:type="dxa"/>
            <w:tcBorders>
              <w:top w:val="single" w:sz="4" w:space="0" w:color="auto"/>
              <w:left w:val="single" w:sz="4" w:space="0" w:color="auto"/>
              <w:bottom w:val="single" w:sz="4" w:space="0" w:color="auto"/>
              <w:right w:val="single" w:sz="4" w:space="0" w:color="auto"/>
            </w:tcBorders>
          </w:tcPr>
          <w:p w:rsidR="003D4A69" w:rsidRDefault="003D4A69">
            <w:pPr>
              <w:rPr>
                <w:rFonts w:cs="Times New Roman"/>
                <w:b/>
                <w:sz w:val="24"/>
                <w:lang w:val="vi-VN"/>
              </w:rPr>
            </w:pPr>
          </w:p>
        </w:tc>
      </w:tr>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sz w:val="24"/>
                <w:lang w:val="vi-VN"/>
              </w:rPr>
              <w:t>6</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i/>
                <w:sz w:val="24"/>
                <w:lang w:val="vi-VN"/>
              </w:rPr>
            </w:pPr>
            <w:r>
              <w:rPr>
                <w:rFonts w:cs="Times New Roman"/>
                <w:b/>
                <w:i/>
                <w:sz w:val="24"/>
                <w:lang w:val="vi-VN"/>
              </w:rPr>
              <w:t>Bộ Y tế</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4</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0</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4</w:t>
            </w:r>
          </w:p>
        </w:tc>
        <w:tc>
          <w:tcPr>
            <w:tcW w:w="1985" w:type="dxa"/>
            <w:tcBorders>
              <w:top w:val="single" w:sz="4" w:space="0" w:color="auto"/>
              <w:left w:val="single" w:sz="4" w:space="0" w:color="auto"/>
              <w:bottom w:val="single" w:sz="4" w:space="0" w:color="auto"/>
              <w:right w:val="single" w:sz="4" w:space="0" w:color="auto"/>
            </w:tcBorders>
          </w:tcPr>
          <w:p w:rsidR="003D4A69" w:rsidRDefault="003D4A69">
            <w:pPr>
              <w:rPr>
                <w:rFonts w:cs="Times New Roman"/>
                <w:b/>
                <w:sz w:val="24"/>
                <w:lang w:val="vi-VN"/>
              </w:rPr>
            </w:pPr>
          </w:p>
        </w:tc>
      </w:tr>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lang w:val="vi-VN"/>
              </w:rPr>
            </w:pPr>
            <w:r>
              <w:rPr>
                <w:rFonts w:cs="Times New Roman"/>
                <w:b/>
                <w:sz w:val="24"/>
                <w:lang w:val="vi-VN"/>
              </w:rPr>
              <w:t>7</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i/>
                <w:sz w:val="24"/>
              </w:rPr>
            </w:pPr>
            <w:r>
              <w:rPr>
                <w:rFonts w:cs="Times New Roman"/>
                <w:b/>
                <w:i/>
                <w:sz w:val="24"/>
              </w:rPr>
              <w:t>Bộ Khoa học và Công nghệ</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3</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0</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3</w:t>
            </w:r>
          </w:p>
        </w:tc>
        <w:tc>
          <w:tcPr>
            <w:tcW w:w="1985" w:type="dxa"/>
            <w:tcBorders>
              <w:top w:val="single" w:sz="4" w:space="0" w:color="auto"/>
              <w:left w:val="single" w:sz="4" w:space="0" w:color="auto"/>
              <w:bottom w:val="single" w:sz="4" w:space="0" w:color="auto"/>
              <w:right w:val="single" w:sz="4" w:space="0" w:color="auto"/>
            </w:tcBorders>
          </w:tcPr>
          <w:p w:rsidR="003D4A69" w:rsidRDefault="003D4A69">
            <w:pPr>
              <w:jc w:val="center"/>
              <w:rPr>
                <w:rFonts w:cs="Times New Roman"/>
                <w:b/>
                <w:sz w:val="24"/>
                <w:lang w:val="vi-VN"/>
              </w:rPr>
            </w:pPr>
          </w:p>
        </w:tc>
      </w:tr>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rPr>
            </w:pPr>
            <w:r>
              <w:rPr>
                <w:rFonts w:cs="Times New Roman"/>
                <w:b/>
                <w:sz w:val="24"/>
              </w:rPr>
              <w:t>8</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i/>
                <w:sz w:val="24"/>
              </w:rPr>
            </w:pPr>
            <w:r>
              <w:rPr>
                <w:rFonts w:cs="Times New Roman"/>
                <w:b/>
                <w:i/>
                <w:sz w:val="24"/>
              </w:rPr>
              <w:t xml:space="preserve">Bộ Công an </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1</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0</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1</w:t>
            </w:r>
          </w:p>
        </w:tc>
        <w:tc>
          <w:tcPr>
            <w:tcW w:w="1985" w:type="dxa"/>
            <w:tcBorders>
              <w:top w:val="single" w:sz="4" w:space="0" w:color="auto"/>
              <w:left w:val="single" w:sz="4" w:space="0" w:color="auto"/>
              <w:bottom w:val="single" w:sz="4" w:space="0" w:color="auto"/>
              <w:right w:val="single" w:sz="4" w:space="0" w:color="auto"/>
            </w:tcBorders>
          </w:tcPr>
          <w:p w:rsidR="003D4A69" w:rsidRDefault="003D4A69">
            <w:pPr>
              <w:jc w:val="center"/>
              <w:rPr>
                <w:rFonts w:cs="Times New Roman"/>
                <w:b/>
                <w:sz w:val="24"/>
                <w:lang w:val="vi-VN"/>
              </w:rPr>
            </w:pPr>
          </w:p>
        </w:tc>
      </w:tr>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rPr>
            </w:pPr>
            <w:r>
              <w:rPr>
                <w:rFonts w:cs="Times New Roman"/>
                <w:b/>
                <w:sz w:val="24"/>
              </w:rPr>
              <w:t>9</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i/>
                <w:sz w:val="24"/>
              </w:rPr>
            </w:pPr>
            <w:r>
              <w:rPr>
                <w:rFonts w:cs="Times New Roman"/>
                <w:b/>
                <w:i/>
                <w:sz w:val="24"/>
              </w:rPr>
              <w:t>Bộ Văn hóa, Thể thao và Du lịch</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1</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0</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1</w:t>
            </w:r>
          </w:p>
        </w:tc>
        <w:tc>
          <w:tcPr>
            <w:tcW w:w="1985" w:type="dxa"/>
            <w:tcBorders>
              <w:top w:val="single" w:sz="4" w:space="0" w:color="auto"/>
              <w:left w:val="single" w:sz="4" w:space="0" w:color="auto"/>
              <w:bottom w:val="single" w:sz="4" w:space="0" w:color="auto"/>
              <w:right w:val="single" w:sz="4" w:space="0" w:color="auto"/>
            </w:tcBorders>
          </w:tcPr>
          <w:p w:rsidR="003D4A69" w:rsidRDefault="003D4A69">
            <w:pPr>
              <w:jc w:val="center"/>
              <w:rPr>
                <w:rFonts w:cs="Times New Roman"/>
                <w:b/>
                <w:sz w:val="24"/>
                <w:lang w:val="vi-VN"/>
              </w:rPr>
            </w:pPr>
          </w:p>
        </w:tc>
      </w:tr>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rPr>
            </w:pPr>
            <w:r>
              <w:rPr>
                <w:rFonts w:cs="Times New Roman"/>
                <w:b/>
                <w:sz w:val="24"/>
              </w:rPr>
              <w:t>10</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i/>
                <w:sz w:val="24"/>
              </w:rPr>
            </w:pPr>
            <w:r>
              <w:rPr>
                <w:rFonts w:cs="Times New Roman"/>
                <w:b/>
                <w:i/>
                <w:sz w:val="24"/>
              </w:rPr>
              <w:t xml:space="preserve">Bộ Nội vụ </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1</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0</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1</w:t>
            </w:r>
          </w:p>
        </w:tc>
        <w:tc>
          <w:tcPr>
            <w:tcW w:w="1985" w:type="dxa"/>
            <w:tcBorders>
              <w:top w:val="single" w:sz="4" w:space="0" w:color="auto"/>
              <w:left w:val="single" w:sz="4" w:space="0" w:color="auto"/>
              <w:bottom w:val="single" w:sz="4" w:space="0" w:color="auto"/>
              <w:right w:val="single" w:sz="4" w:space="0" w:color="auto"/>
            </w:tcBorders>
          </w:tcPr>
          <w:p w:rsidR="003D4A69" w:rsidRDefault="003D4A69">
            <w:pPr>
              <w:jc w:val="center"/>
              <w:rPr>
                <w:rFonts w:cs="Times New Roman"/>
                <w:b/>
                <w:sz w:val="24"/>
                <w:lang w:val="vi-VN"/>
              </w:rPr>
            </w:pPr>
          </w:p>
        </w:tc>
      </w:tr>
      <w:tr w:rsidR="003D4A69" w:rsidTr="003D4A69">
        <w:tc>
          <w:tcPr>
            <w:tcW w:w="821"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sz w:val="24"/>
              </w:rPr>
            </w:pPr>
            <w:r>
              <w:rPr>
                <w:rFonts w:cs="Times New Roman"/>
                <w:b/>
                <w:sz w:val="24"/>
              </w:rPr>
              <w:t>11</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rPr>
                <w:rFonts w:cs="Times New Roman"/>
                <w:b/>
                <w:i/>
                <w:sz w:val="24"/>
              </w:rPr>
            </w:pPr>
            <w:r>
              <w:rPr>
                <w:rFonts w:cs="Times New Roman"/>
                <w:b/>
                <w:i/>
                <w:sz w:val="24"/>
              </w:rPr>
              <w:t>Bộ Nôn nghiệp và Môi trường</w:t>
            </w:r>
          </w:p>
        </w:tc>
        <w:tc>
          <w:tcPr>
            <w:tcW w:w="2268"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4</w:t>
            </w:r>
          </w:p>
        </w:tc>
        <w:tc>
          <w:tcPr>
            <w:tcW w:w="1843"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0</w:t>
            </w:r>
          </w:p>
        </w:tc>
        <w:tc>
          <w:tcPr>
            <w:tcW w:w="2835" w:type="dxa"/>
            <w:tcBorders>
              <w:top w:val="single" w:sz="4" w:space="0" w:color="auto"/>
              <w:left w:val="single" w:sz="4" w:space="0" w:color="auto"/>
              <w:bottom w:val="single" w:sz="4" w:space="0" w:color="auto"/>
              <w:right w:val="single" w:sz="4" w:space="0" w:color="auto"/>
            </w:tcBorders>
            <w:hideMark/>
          </w:tcPr>
          <w:p w:rsidR="003D4A69" w:rsidRDefault="003D4A69">
            <w:pPr>
              <w:jc w:val="center"/>
              <w:rPr>
                <w:rFonts w:cs="Times New Roman"/>
                <w:sz w:val="24"/>
              </w:rPr>
            </w:pPr>
            <w:r>
              <w:rPr>
                <w:rFonts w:cs="Times New Roman"/>
                <w:sz w:val="24"/>
              </w:rPr>
              <w:t>4</w:t>
            </w:r>
          </w:p>
        </w:tc>
        <w:tc>
          <w:tcPr>
            <w:tcW w:w="1985" w:type="dxa"/>
            <w:tcBorders>
              <w:top w:val="single" w:sz="4" w:space="0" w:color="auto"/>
              <w:left w:val="single" w:sz="4" w:space="0" w:color="auto"/>
              <w:bottom w:val="single" w:sz="4" w:space="0" w:color="auto"/>
              <w:right w:val="single" w:sz="4" w:space="0" w:color="auto"/>
            </w:tcBorders>
          </w:tcPr>
          <w:p w:rsidR="003D4A69" w:rsidRDefault="003D4A69">
            <w:pPr>
              <w:jc w:val="center"/>
              <w:rPr>
                <w:rFonts w:cs="Times New Roman"/>
                <w:b/>
                <w:sz w:val="24"/>
                <w:lang w:val="vi-VN"/>
              </w:rPr>
            </w:pPr>
          </w:p>
        </w:tc>
      </w:tr>
    </w:tbl>
    <w:p w:rsidR="003D4A69" w:rsidRDefault="003D4A69" w:rsidP="003D4A69">
      <w:pPr>
        <w:rPr>
          <w:sz w:val="24"/>
        </w:rPr>
      </w:pPr>
      <w:r>
        <w:rPr>
          <w:sz w:val="24"/>
        </w:rPr>
        <w:t xml:space="preserve"> </w:t>
      </w:r>
    </w:p>
    <w:p w:rsidR="003D4A69" w:rsidRDefault="003D4A69" w:rsidP="003D4A69">
      <w:pPr>
        <w:rPr>
          <w:sz w:val="24"/>
        </w:rPr>
      </w:pPr>
    </w:p>
    <w:p w:rsidR="003D4A69" w:rsidRDefault="003D4A69" w:rsidP="003D4A69">
      <w:pPr>
        <w:rPr>
          <w:sz w:val="24"/>
        </w:rPr>
      </w:pPr>
    </w:p>
    <w:p w:rsidR="003D4A69" w:rsidRDefault="003D4A69" w:rsidP="003D4A69">
      <w:pPr>
        <w:rPr>
          <w:sz w:val="24"/>
        </w:rPr>
      </w:pPr>
    </w:p>
    <w:p w:rsidR="003D4A69" w:rsidRDefault="003D4A69" w:rsidP="003D4A69">
      <w:pPr>
        <w:rPr>
          <w:sz w:val="24"/>
        </w:rPr>
      </w:pPr>
    </w:p>
    <w:p w:rsidR="003D4A69" w:rsidRDefault="003D4A69" w:rsidP="003D4A69">
      <w:pPr>
        <w:rPr>
          <w:sz w:val="24"/>
        </w:rPr>
      </w:pPr>
    </w:p>
    <w:p w:rsidR="003D4A69" w:rsidRDefault="003D4A69" w:rsidP="003D4A69">
      <w:pPr>
        <w:rPr>
          <w:sz w:val="24"/>
        </w:rPr>
      </w:pPr>
    </w:p>
    <w:p w:rsidR="003D4A69" w:rsidRDefault="003D4A69" w:rsidP="003D4A69">
      <w:pPr>
        <w:rPr>
          <w:sz w:val="24"/>
        </w:rPr>
      </w:pPr>
    </w:p>
    <w:p w:rsidR="003D4A69" w:rsidRDefault="003D4A69" w:rsidP="003D4A69">
      <w:pPr>
        <w:rPr>
          <w:sz w:val="24"/>
        </w:rPr>
      </w:pPr>
    </w:p>
    <w:p w:rsidR="003D4A69" w:rsidRDefault="003D4A69" w:rsidP="003D4A69">
      <w:pPr>
        <w:spacing w:after="0" w:line="240" w:lineRule="auto"/>
        <w:jc w:val="center"/>
        <w:rPr>
          <w:rFonts w:cs="Times New Roman"/>
          <w:i/>
          <w:iCs/>
          <w:color w:val="000000" w:themeColor="text1"/>
        </w:rPr>
      </w:pPr>
      <w:r>
        <w:rPr>
          <w:rStyle w:val="Strong"/>
        </w:rPr>
        <w:lastRenderedPageBreak/>
        <w:t>PHỤ LỤC III</w:t>
      </w:r>
      <w:r>
        <w:br/>
      </w:r>
      <w:r>
        <w:rPr>
          <w:rStyle w:val="Strong"/>
        </w:rPr>
        <w:t>CÁC KIẾN NGHỊ CHƯA XỬ LÝ XONG</w:t>
      </w:r>
      <w:r>
        <w:br/>
      </w:r>
      <w:r>
        <w:rPr>
          <w:rStyle w:val="Emphasis"/>
        </w:rPr>
        <w:t>(02 nội dung thuộc 53 nhóm kiến nghị được tổng hợp trước Hội nghị Thường trực Chính phủ với cộng đồng doanh nghiệp ngày 18/7/2026)</w:t>
      </w:r>
      <w:r>
        <w:t xml:space="preserve"> </w:t>
      </w:r>
    </w:p>
    <w:p w:rsidR="003D4A69" w:rsidRDefault="003D4A69" w:rsidP="003D4A69">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130175</wp:posOffset>
                </wp:positionV>
                <wp:extent cx="12477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0;margin-top:10.25pt;width:98.25pt;height:0;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t0JQIAAEoEAAAOAAAAZHJzL2Uyb0RvYy54bWysVMGO2jAQvVfqP1i+QxIIC0SE1SqBXrYt&#10;EtsPMLZDrCYeyzYEVPXfa5sEse2lqpqDM8543ryZec7q+dI26My1ESBznIxjjLikwIQ85vjb23a0&#10;wMhYIhlpQPIcX7nBz+uPH1adyvgEamgY18iBSJN1Kse1tSqLIkNr3hIzBsWlc1agW2LdVh8jpknn&#10;0NsmmsTxU9SBZkoD5ca4r+XNidcBv6o4tV+rynCLmhw7bjasOqwHv0brFcmOmqha0J4G+QcWLRHS&#10;Jb1DlcQSdNLiD6hWUA0GKjum0EZQVYLyUIOrJol/q2ZfE8VDLa45Rt3bZP4fLP1y3mkkWI6nGEnS&#10;uhHtrSbiWFv0ojV0qAApXRtBo6nvVqdM5oIKudO+XnqRe/UK9LtBEoqayCMPrN+uykElPiJ6F+I3&#10;Rrmch+4zMHeGnCyE1l0q3XpI1xR0CRO63ifELxZR9zGZpPP5fIYRHXwRyYZApY39xKFF3six6eu4&#10;F5CENOT8aqynRbIhwGeVsBVNE+TQSNTleDmbzEKAgUYw7/THjD4eikajM/GCCk+o0Xkej2k4SRbA&#10;ak7YprctEc3Ndskb6fFcYY5Ob90U82MZLzeLzSIdpZOnzSiNy3L0si3S0dM2mc/KaVkUZfLTU0vS&#10;rBaMcenZDepN0r9TR3+Pbrq76/fehug9euiXIzu8A+kwWT/MmywOwK47PUzcCTYc7i+XvxGPe2c/&#10;/gLWvwAAAP//AwBQSwMEFAAGAAgAAAAhAM8sspnaAAAABgEAAA8AAABkcnMvZG93bnJldi54bWxM&#10;j0FvwjAMhe+T9h8iT9plGgmVQKOrixAShx0HSFxD47WFxqmalHb8+gXtADc/P+u9z9lytI24UOdr&#10;xwjTiQJBXDhTc4mw323eP0D4oNnoxjEh/JKHZf78lOnUuIG/6bINpYgh7FONUIXQplL6oiKr/cS1&#10;xNH7cZ3VIcqulKbTQwy3jUyUmkura44NlW5pXVFx3vYWgXw/m6rVwpb7r+vwdkiup6HdIb6+jKtP&#10;EIHGcD+GG35EhzwyHV3PxosGIT4SEBI1A3FzF/M4HP8XMs/kI37+BwAA//8DAFBLAQItABQABgAI&#10;AAAAIQC2gziS/gAAAOEBAAATAAAAAAAAAAAAAAAAAAAAAABbQ29udGVudF9UeXBlc10ueG1sUEsB&#10;Ai0AFAAGAAgAAAAhADj9If/WAAAAlAEAAAsAAAAAAAAAAAAAAAAALwEAAF9yZWxzLy5yZWxzUEsB&#10;Ai0AFAAGAAgAAAAhADKke3QlAgAASgQAAA4AAAAAAAAAAAAAAAAALgIAAGRycy9lMm9Eb2MueG1s&#10;UEsBAi0AFAAGAAgAAAAhAM8sspnaAAAABgEAAA8AAAAAAAAAAAAAAAAAfwQAAGRycy9kb3ducmV2&#10;LnhtbFBLBQYAAAAABAAEAPMAAACGBQAAAAA=&#10;">
                <w10:wrap anchorx="margin"/>
              </v:shape>
            </w:pict>
          </mc:Fallback>
        </mc:AlternateContent>
      </w:r>
    </w:p>
    <w:tbl>
      <w:tblPr>
        <w:tblW w:w="1476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316"/>
        <w:gridCol w:w="6840"/>
        <w:gridCol w:w="2520"/>
        <w:gridCol w:w="2340"/>
      </w:tblGrid>
      <w:tr w:rsidR="003D4A69" w:rsidTr="003D4A69">
        <w:trPr>
          <w:trHeight w:val="759"/>
        </w:trPr>
        <w:tc>
          <w:tcPr>
            <w:tcW w:w="744" w:type="dxa"/>
            <w:tcBorders>
              <w:top w:val="single" w:sz="4" w:space="0" w:color="auto"/>
              <w:left w:val="single" w:sz="4" w:space="0" w:color="auto"/>
              <w:bottom w:val="single" w:sz="4" w:space="0" w:color="auto"/>
              <w:right w:val="single" w:sz="4" w:space="0" w:color="auto"/>
            </w:tcBorders>
            <w:hideMark/>
          </w:tcPr>
          <w:p w:rsidR="003D4A69" w:rsidRDefault="003D4A69">
            <w:pPr>
              <w:spacing w:before="240" w:after="0" w:line="240" w:lineRule="auto"/>
              <w:jc w:val="center"/>
              <w:rPr>
                <w:rFonts w:eastAsia="Times New Roman" w:cs="Times New Roman"/>
                <w:b/>
                <w:color w:val="000000"/>
                <w:kern w:val="0"/>
                <w:sz w:val="24"/>
                <w:lang w:eastAsia="vi-VN"/>
              </w:rPr>
            </w:pPr>
            <w:r>
              <w:rPr>
                <w:rFonts w:eastAsia="Times New Roman" w:cs="Times New Roman"/>
                <w:b/>
                <w:color w:val="000000"/>
                <w:kern w:val="0"/>
                <w:sz w:val="24"/>
                <w:lang w:eastAsia="vi-VN"/>
              </w:rPr>
              <w:t>STT</w:t>
            </w:r>
          </w:p>
        </w:tc>
        <w:tc>
          <w:tcPr>
            <w:tcW w:w="2316" w:type="dxa"/>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center"/>
              <w:rPr>
                <w:rFonts w:eastAsia="Times New Roman" w:cs="Times New Roman"/>
                <w:b/>
                <w:bCs/>
                <w:color w:val="000000"/>
                <w:kern w:val="0"/>
                <w:sz w:val="24"/>
                <w:lang w:eastAsia="vi-VN"/>
              </w:rPr>
            </w:pPr>
            <w:r>
              <w:rPr>
                <w:rFonts w:eastAsia="Times New Roman" w:cs="Times New Roman"/>
                <w:b/>
                <w:bCs/>
                <w:color w:val="000000"/>
                <w:kern w:val="0"/>
                <w:sz w:val="24"/>
                <w:lang w:val="vi-VN" w:eastAsia="vi-VN"/>
              </w:rPr>
              <w:t>Vấn đề</w:t>
            </w:r>
            <w:r>
              <w:rPr>
                <w:rFonts w:eastAsia="Times New Roman" w:cs="Times New Roman"/>
                <w:b/>
                <w:bCs/>
                <w:color w:val="000000"/>
                <w:kern w:val="0"/>
                <w:sz w:val="24"/>
                <w:lang w:eastAsia="vi-VN"/>
              </w:rPr>
              <w:t xml:space="preserve"> phản ánh</w:t>
            </w:r>
          </w:p>
        </w:tc>
        <w:tc>
          <w:tcPr>
            <w:tcW w:w="6840" w:type="dxa"/>
            <w:tcBorders>
              <w:top w:val="single" w:sz="4" w:space="0" w:color="auto"/>
              <w:left w:val="single" w:sz="4" w:space="0" w:color="auto"/>
              <w:bottom w:val="single" w:sz="4" w:space="0" w:color="auto"/>
              <w:right w:val="single" w:sz="4" w:space="0" w:color="auto"/>
            </w:tcBorders>
            <w:vAlign w:val="center"/>
            <w:hideMark/>
          </w:tcPr>
          <w:p w:rsidR="003D4A69" w:rsidRDefault="003D4A69">
            <w:pPr>
              <w:spacing w:after="0" w:line="240" w:lineRule="auto"/>
              <w:jc w:val="center"/>
              <w:rPr>
                <w:rFonts w:eastAsia="Times New Roman" w:cs="Times New Roman"/>
                <w:b/>
                <w:bCs/>
                <w:color w:val="000000"/>
                <w:kern w:val="0"/>
                <w:sz w:val="24"/>
                <w:lang w:eastAsia="vi-VN"/>
              </w:rPr>
            </w:pPr>
            <w:r>
              <w:rPr>
                <w:rFonts w:eastAsia="Times New Roman" w:cs="Times New Roman"/>
                <w:b/>
                <w:bCs/>
                <w:color w:val="000000"/>
                <w:kern w:val="0"/>
                <w:sz w:val="24"/>
                <w:lang w:val="vi-VN" w:eastAsia="vi-VN"/>
              </w:rPr>
              <w:t>Giải pháp/Kiến nghị đề xuất</w:t>
            </w:r>
          </w:p>
        </w:tc>
        <w:tc>
          <w:tcPr>
            <w:tcW w:w="2520" w:type="dxa"/>
            <w:tcBorders>
              <w:top w:val="single" w:sz="4" w:space="0" w:color="auto"/>
              <w:left w:val="single" w:sz="4" w:space="0" w:color="auto"/>
              <w:bottom w:val="single" w:sz="4" w:space="0" w:color="auto"/>
              <w:right w:val="single" w:sz="4" w:space="0" w:color="auto"/>
            </w:tcBorders>
            <w:hideMark/>
          </w:tcPr>
          <w:p w:rsidR="003D4A69" w:rsidRDefault="003D4A69">
            <w:pPr>
              <w:spacing w:before="120" w:after="0" w:line="240" w:lineRule="auto"/>
              <w:jc w:val="center"/>
              <w:rPr>
                <w:rFonts w:eastAsia="Times New Roman" w:cs="Times New Roman"/>
                <w:color w:val="000000"/>
                <w:kern w:val="0"/>
                <w:sz w:val="24"/>
                <w:lang w:val="vi-VN" w:eastAsia="vi-VN"/>
              </w:rPr>
            </w:pPr>
            <w:r>
              <w:rPr>
                <w:rFonts w:eastAsia="Times New Roman" w:cs="Times New Roman"/>
                <w:b/>
                <w:bCs/>
                <w:color w:val="000000"/>
                <w:kern w:val="0"/>
                <w:sz w:val="24"/>
                <w:lang w:eastAsia="vi-VN"/>
              </w:rPr>
              <w:t>Tên đơn vị phản ánh , kiến nghị</w:t>
            </w:r>
          </w:p>
        </w:tc>
        <w:tc>
          <w:tcPr>
            <w:tcW w:w="2340" w:type="dxa"/>
            <w:tcBorders>
              <w:top w:val="single" w:sz="4" w:space="0" w:color="auto"/>
              <w:left w:val="single" w:sz="4" w:space="0" w:color="auto"/>
              <w:bottom w:val="single" w:sz="4" w:space="0" w:color="auto"/>
              <w:right w:val="single" w:sz="4" w:space="0" w:color="auto"/>
            </w:tcBorders>
            <w:hideMark/>
          </w:tcPr>
          <w:p w:rsidR="003D4A69" w:rsidRDefault="003D4A69">
            <w:pPr>
              <w:spacing w:before="120" w:after="0" w:line="240" w:lineRule="auto"/>
              <w:jc w:val="center"/>
              <w:rPr>
                <w:rFonts w:eastAsia="Times New Roman" w:cs="Times New Roman"/>
                <w:color w:val="000000"/>
                <w:kern w:val="0"/>
                <w:sz w:val="24"/>
                <w:lang w:val="vi-VN" w:eastAsia="vi-VN"/>
              </w:rPr>
            </w:pPr>
            <w:r>
              <w:rPr>
                <w:rFonts w:eastAsia="Times New Roman" w:cs="Times New Roman"/>
                <w:b/>
                <w:bCs/>
                <w:color w:val="000000"/>
                <w:kern w:val="0"/>
                <w:sz w:val="24"/>
                <w:lang w:val="vi-VN" w:eastAsia="vi-VN"/>
              </w:rPr>
              <w:t>Bộ, ngành chịu trách nhiệm xử lý</w:t>
            </w:r>
          </w:p>
        </w:tc>
      </w:tr>
      <w:tr w:rsidR="003D4A69" w:rsidTr="003D4A69">
        <w:trPr>
          <w:trHeight w:val="1340"/>
        </w:trPr>
        <w:tc>
          <w:tcPr>
            <w:tcW w:w="74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t>1</w:t>
            </w:r>
          </w:p>
        </w:tc>
        <w:tc>
          <w:tcPr>
            <w:tcW w:w="2316" w:type="dxa"/>
            <w:tcBorders>
              <w:top w:val="single" w:sz="4" w:space="0" w:color="auto"/>
              <w:left w:val="single" w:sz="4" w:space="0" w:color="auto"/>
              <w:bottom w:val="single" w:sz="4" w:space="0" w:color="auto"/>
              <w:right w:val="single" w:sz="4" w:space="0" w:color="auto"/>
            </w:tcBorders>
            <w:hideMark/>
          </w:tcPr>
          <w:p w:rsidR="003D4A69" w:rsidRDefault="003D4A69">
            <w:pPr>
              <w:rPr>
                <w:rFonts w:eastAsia="Times New Roman" w:cs="Times New Roman"/>
                <w:bCs/>
                <w:color w:val="000000"/>
                <w:kern w:val="0"/>
                <w:sz w:val="24"/>
                <w:lang w:eastAsia="vi-VN"/>
              </w:rPr>
            </w:pPr>
            <w:r>
              <w:rPr>
                <w:rFonts w:eastAsia="Times New Roman" w:cs="Times New Roman"/>
                <w:bCs/>
                <w:color w:val="000000"/>
                <w:kern w:val="0"/>
                <w:sz w:val="24"/>
                <w:lang w:val="vi-VN" w:eastAsia="vi-VN"/>
              </w:rPr>
              <w:t xml:space="preserve">Bế tắc trong thủ tục xin cấp Thẻ tạm trú (TRC) cho nhân sự nước ngoài tại các văn phòng đại diện mới thành lập </w:t>
            </w:r>
          </w:p>
        </w:tc>
        <w:tc>
          <w:tcPr>
            <w:tcW w:w="684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Kiến nghị Chính phủ chỉ đạo Bộ Công an (C06) phối hợp với Văn phòng Chính phủ khẩn trương sửa đổi quy trình kỹ thuật; áp dụng biện pháp chuyển tiếp linh hoạt bằng cách cho phép các VPĐD và doanh nghiệp mới thành lập được nộp hồ sơ giấy truyền thống hoặc sử dụng hệ thống chữ ký số (token) hiện hành để cấp TRC cho chuyên gia trong thời gian chờ hệ thống VNeID khắc phục triệt để lỗi đồng bộ dữ liệu.</w:t>
            </w:r>
          </w:p>
        </w:tc>
        <w:tc>
          <w:tcPr>
            <w:tcW w:w="252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Hiệp hội Doanh nghiệp Nhật Bản tại Việt Nam (JCCI)</w:t>
            </w:r>
          </w:p>
        </w:tc>
        <w:tc>
          <w:tcPr>
            <w:tcW w:w="234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Bộ Công an </w:t>
            </w:r>
          </w:p>
        </w:tc>
      </w:tr>
      <w:tr w:rsidR="003D4A69" w:rsidTr="003D4A69">
        <w:trPr>
          <w:trHeight w:val="1340"/>
        </w:trPr>
        <w:tc>
          <w:tcPr>
            <w:tcW w:w="744"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jc w:val="center"/>
              <w:rPr>
                <w:rFonts w:eastAsia="Times New Roman" w:cs="Times New Roman"/>
                <w:color w:val="000000"/>
                <w:kern w:val="0"/>
                <w:sz w:val="24"/>
                <w:lang w:eastAsia="vi-VN"/>
              </w:rPr>
            </w:pPr>
            <w:r>
              <w:rPr>
                <w:rFonts w:eastAsia="Times New Roman" w:cs="Times New Roman"/>
                <w:color w:val="000000"/>
                <w:kern w:val="0"/>
                <w:sz w:val="24"/>
                <w:lang w:eastAsia="vi-VN"/>
              </w:rPr>
              <w:t>2</w:t>
            </w:r>
          </w:p>
        </w:tc>
        <w:tc>
          <w:tcPr>
            <w:tcW w:w="2316" w:type="dxa"/>
            <w:tcBorders>
              <w:top w:val="single" w:sz="4" w:space="0" w:color="auto"/>
              <w:left w:val="single" w:sz="4" w:space="0" w:color="auto"/>
              <w:bottom w:val="single" w:sz="4" w:space="0" w:color="auto"/>
              <w:right w:val="single" w:sz="4" w:space="0" w:color="auto"/>
            </w:tcBorders>
            <w:hideMark/>
          </w:tcPr>
          <w:p w:rsidR="003D4A69" w:rsidRDefault="003D4A69">
            <w:pPr>
              <w:rPr>
                <w:rFonts w:eastAsia="Times New Roman" w:cs="Times New Roman"/>
                <w:bCs/>
                <w:color w:val="000000"/>
                <w:spacing w:val="-6"/>
                <w:kern w:val="0"/>
                <w:sz w:val="24"/>
                <w:lang w:val="vi-VN" w:eastAsia="vi-VN"/>
              </w:rPr>
            </w:pPr>
            <w:r>
              <w:rPr>
                <w:rFonts w:eastAsia="Times New Roman" w:cs="Times New Roman"/>
                <w:bCs/>
                <w:color w:val="000000"/>
                <w:spacing w:val="-6"/>
                <w:kern w:val="0"/>
                <w:sz w:val="24"/>
                <w:lang w:val="vi-VN" w:eastAsia="vi-VN"/>
              </w:rPr>
              <w:t>Khoản tiền bổ sung 3,6% mỗi năm chuyển rủi ro hành chính sang doanh nghiệp</w:t>
            </w:r>
          </w:p>
        </w:tc>
        <w:tc>
          <w:tcPr>
            <w:tcW w:w="684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val="vi-VN" w:eastAsia="vi-VN"/>
              </w:rPr>
            </w:pPr>
            <w:r>
              <w:rPr>
                <w:rFonts w:eastAsia="Times New Roman" w:cs="Times New Roman"/>
                <w:color w:val="000000"/>
                <w:kern w:val="0"/>
                <w:sz w:val="24"/>
                <w:lang w:val="vi-VN" w:eastAsia="vi-VN"/>
              </w:rPr>
              <w:t>Không áp dụng khoản tiền bổ sung 3,6% nếu lỗi chậm xác định giá thuộc cơ quan nhà nước; cho phép tạm nộp theo chứng thư thẩm định để tiếp tục triển khai dự án.</w:t>
            </w:r>
          </w:p>
        </w:tc>
        <w:tc>
          <w:tcPr>
            <w:tcW w:w="2520" w:type="dxa"/>
            <w:tcBorders>
              <w:top w:val="single" w:sz="4" w:space="0" w:color="auto"/>
              <w:left w:val="single" w:sz="4" w:space="0" w:color="auto"/>
              <w:bottom w:val="single" w:sz="4" w:space="0" w:color="auto"/>
              <w:right w:val="single" w:sz="4" w:space="0" w:color="auto"/>
            </w:tcBorders>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Doanh nghiệp</w:t>
            </w:r>
          </w:p>
          <w:p w:rsidR="003D4A69" w:rsidRDefault="003D4A69">
            <w:pPr>
              <w:spacing w:after="0" w:line="240" w:lineRule="auto"/>
              <w:rPr>
                <w:rFonts w:eastAsia="Times New Roman" w:cs="Times New Roman"/>
                <w:color w:val="000000"/>
                <w:kern w:val="0"/>
                <w:sz w:val="24"/>
                <w:lang w:eastAsia="vi-VN"/>
              </w:rPr>
            </w:pPr>
          </w:p>
        </w:tc>
        <w:tc>
          <w:tcPr>
            <w:tcW w:w="2340" w:type="dxa"/>
            <w:tcBorders>
              <w:top w:val="single" w:sz="4" w:space="0" w:color="auto"/>
              <w:left w:val="single" w:sz="4" w:space="0" w:color="auto"/>
              <w:bottom w:val="single" w:sz="4" w:space="0" w:color="auto"/>
              <w:right w:val="single" w:sz="4" w:space="0" w:color="auto"/>
            </w:tcBorders>
            <w:hideMark/>
          </w:tcPr>
          <w:p w:rsidR="003D4A69" w:rsidRDefault="003D4A69">
            <w:pPr>
              <w:spacing w:after="0" w:line="240" w:lineRule="auto"/>
              <w:rPr>
                <w:rFonts w:eastAsia="Times New Roman" w:cs="Times New Roman"/>
                <w:color w:val="000000"/>
                <w:kern w:val="0"/>
                <w:sz w:val="24"/>
                <w:lang w:eastAsia="vi-VN"/>
              </w:rPr>
            </w:pPr>
            <w:r>
              <w:rPr>
                <w:rFonts w:eastAsia="Times New Roman" w:cs="Times New Roman"/>
                <w:color w:val="000000"/>
                <w:kern w:val="0"/>
                <w:sz w:val="24"/>
                <w:lang w:eastAsia="vi-VN"/>
              </w:rPr>
              <w:t xml:space="preserve">Bộ Nông nghiệp và Môi trường </w:t>
            </w:r>
          </w:p>
        </w:tc>
      </w:tr>
    </w:tbl>
    <w:p w:rsidR="0086504F" w:rsidRDefault="0086504F" w:rsidP="0086504F"/>
    <w:p w:rsidR="0086504F" w:rsidRDefault="0086504F" w:rsidP="0086504F"/>
    <w:p w:rsidR="00822D29" w:rsidRDefault="005D2BAC"/>
    <w:sectPr w:rsidR="00822D29" w:rsidSect="0086504F">
      <w:headerReference w:type="default" r:id="rId7"/>
      <w:pgSz w:w="15840" w:h="12240" w:orient="landscape"/>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BAC" w:rsidRDefault="005D2BAC" w:rsidP="0086504F">
      <w:pPr>
        <w:spacing w:after="0" w:line="240" w:lineRule="auto"/>
      </w:pPr>
      <w:r>
        <w:separator/>
      </w:r>
    </w:p>
  </w:endnote>
  <w:endnote w:type="continuationSeparator" w:id="0">
    <w:p w:rsidR="005D2BAC" w:rsidRDefault="005D2BAC" w:rsidP="00865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BAC" w:rsidRDefault="005D2BAC" w:rsidP="0086504F">
      <w:pPr>
        <w:spacing w:after="0" w:line="240" w:lineRule="auto"/>
      </w:pPr>
      <w:r>
        <w:separator/>
      </w:r>
    </w:p>
  </w:footnote>
  <w:footnote w:type="continuationSeparator" w:id="0">
    <w:p w:rsidR="005D2BAC" w:rsidRDefault="005D2BAC" w:rsidP="008650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80329"/>
      <w:docPartObj>
        <w:docPartGallery w:val="Page Numbers (Top of Page)"/>
        <w:docPartUnique/>
      </w:docPartObj>
    </w:sdtPr>
    <w:sdtEndPr/>
    <w:sdtContent>
      <w:p w:rsidR="0086504F" w:rsidRDefault="009E5B31">
        <w:pPr>
          <w:pStyle w:val="Header"/>
          <w:jc w:val="center"/>
        </w:pPr>
        <w:r>
          <w:rPr>
            <w:noProof/>
          </w:rPr>
          <w:fldChar w:fldCharType="begin"/>
        </w:r>
        <w:r>
          <w:rPr>
            <w:noProof/>
          </w:rPr>
          <w:instrText xml:space="preserve"> PAGE   \* MERGEFORMAT </w:instrText>
        </w:r>
        <w:r>
          <w:rPr>
            <w:noProof/>
          </w:rPr>
          <w:fldChar w:fldCharType="separate"/>
        </w:r>
        <w:r w:rsidR="003D4A69">
          <w:rPr>
            <w:noProof/>
          </w:rPr>
          <w:t>19</w:t>
        </w:r>
        <w:r>
          <w:rPr>
            <w:noProof/>
          </w:rPr>
          <w:fldChar w:fldCharType="end"/>
        </w:r>
      </w:p>
    </w:sdtContent>
  </w:sdt>
  <w:p w:rsidR="0086504F" w:rsidRDefault="008650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04F"/>
    <w:rsid w:val="0013798E"/>
    <w:rsid w:val="003D4A69"/>
    <w:rsid w:val="005226AB"/>
    <w:rsid w:val="00585CE8"/>
    <w:rsid w:val="005A0A9B"/>
    <w:rsid w:val="005D2BAC"/>
    <w:rsid w:val="005E70DC"/>
    <w:rsid w:val="0086504F"/>
    <w:rsid w:val="00964B13"/>
    <w:rsid w:val="009E5B31"/>
    <w:rsid w:val="00A87F0F"/>
    <w:rsid w:val="00AD7729"/>
    <w:rsid w:val="00B0291E"/>
    <w:rsid w:val="00CC0BD3"/>
    <w:rsid w:val="00D426F4"/>
    <w:rsid w:val="00D82321"/>
    <w:rsid w:val="00DF311F"/>
    <w:rsid w:val="00F55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04F"/>
    <w:pPr>
      <w:spacing w:after="120"/>
      <w:jc w:val="both"/>
    </w:pPr>
    <w:rPr>
      <w:rFonts w:ascii="Times New Roman" w:hAnsi="Times New Roman"/>
      <w:kern w:val="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86504F"/>
    <w:pPr>
      <w:spacing w:before="100" w:beforeAutospacing="1" w:after="100" w:afterAutospacing="1" w:line="240" w:lineRule="auto"/>
      <w:jc w:val="left"/>
    </w:pPr>
    <w:rPr>
      <w:rFonts w:eastAsia="Times New Roman" w:cs="Times New Roman"/>
      <w:kern w:val="0"/>
      <w:sz w:val="24"/>
    </w:rPr>
  </w:style>
  <w:style w:type="paragraph" w:styleId="NormalWeb">
    <w:name w:val="Normal (Web)"/>
    <w:basedOn w:val="Normal"/>
    <w:uiPriority w:val="99"/>
    <w:unhideWhenUsed/>
    <w:rsid w:val="0086504F"/>
    <w:pPr>
      <w:spacing w:before="100" w:beforeAutospacing="1" w:after="100" w:afterAutospacing="1" w:line="240" w:lineRule="auto"/>
      <w:jc w:val="left"/>
    </w:pPr>
    <w:rPr>
      <w:rFonts w:eastAsia="Times New Roman" w:cs="Times New Roman"/>
      <w:kern w:val="0"/>
      <w:sz w:val="24"/>
    </w:rPr>
  </w:style>
  <w:style w:type="paragraph" w:styleId="Header">
    <w:name w:val="header"/>
    <w:basedOn w:val="Normal"/>
    <w:link w:val="HeaderChar"/>
    <w:uiPriority w:val="99"/>
    <w:unhideWhenUsed/>
    <w:rsid w:val="00865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04F"/>
    <w:rPr>
      <w:rFonts w:ascii="Times New Roman" w:hAnsi="Times New Roman"/>
      <w:kern w:val="2"/>
      <w:sz w:val="28"/>
      <w:szCs w:val="24"/>
    </w:rPr>
  </w:style>
  <w:style w:type="paragraph" w:styleId="Footer">
    <w:name w:val="footer"/>
    <w:basedOn w:val="Normal"/>
    <w:link w:val="FooterChar"/>
    <w:uiPriority w:val="99"/>
    <w:semiHidden/>
    <w:unhideWhenUsed/>
    <w:rsid w:val="008650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6504F"/>
    <w:rPr>
      <w:rFonts w:ascii="Times New Roman" w:hAnsi="Times New Roman"/>
      <w:kern w:val="2"/>
      <w:sz w:val="28"/>
      <w:szCs w:val="24"/>
    </w:rPr>
  </w:style>
  <w:style w:type="character" w:styleId="Strong">
    <w:name w:val="Strong"/>
    <w:basedOn w:val="DefaultParagraphFont"/>
    <w:uiPriority w:val="22"/>
    <w:qFormat/>
    <w:rsid w:val="00A87F0F"/>
    <w:rPr>
      <w:b/>
      <w:bCs/>
    </w:rPr>
  </w:style>
  <w:style w:type="character" w:styleId="Emphasis">
    <w:name w:val="Emphasis"/>
    <w:basedOn w:val="DefaultParagraphFont"/>
    <w:uiPriority w:val="20"/>
    <w:qFormat/>
    <w:rsid w:val="00A87F0F"/>
    <w:rPr>
      <w:i/>
      <w:iCs/>
    </w:rPr>
  </w:style>
  <w:style w:type="character" w:customStyle="1" w:styleId="fontstyle01">
    <w:name w:val="fontstyle01"/>
    <w:basedOn w:val="DefaultParagraphFont"/>
    <w:rsid w:val="003D4A6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3D4A69"/>
    <w:rPr>
      <w:rFonts w:ascii="TimesNewRomanPS-ItalicMT" w:hAnsi="TimesNewRomanPS-ItalicMT" w:hint="default"/>
      <w:b w:val="0"/>
      <w:bCs w:val="0"/>
      <w:i/>
      <w:iCs/>
      <w:color w:val="000000"/>
      <w:sz w:val="28"/>
      <w:szCs w:val="28"/>
    </w:rPr>
  </w:style>
  <w:style w:type="table" w:styleId="TableGrid">
    <w:name w:val="Table Grid"/>
    <w:basedOn w:val="TableNormal"/>
    <w:uiPriority w:val="39"/>
    <w:rsid w:val="003D4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04F"/>
    <w:pPr>
      <w:spacing w:after="120"/>
      <w:jc w:val="both"/>
    </w:pPr>
    <w:rPr>
      <w:rFonts w:ascii="Times New Roman" w:hAnsi="Times New Roman"/>
      <w:kern w:val="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86504F"/>
    <w:pPr>
      <w:spacing w:before="100" w:beforeAutospacing="1" w:after="100" w:afterAutospacing="1" w:line="240" w:lineRule="auto"/>
      <w:jc w:val="left"/>
    </w:pPr>
    <w:rPr>
      <w:rFonts w:eastAsia="Times New Roman" w:cs="Times New Roman"/>
      <w:kern w:val="0"/>
      <w:sz w:val="24"/>
    </w:rPr>
  </w:style>
  <w:style w:type="paragraph" w:styleId="NormalWeb">
    <w:name w:val="Normal (Web)"/>
    <w:basedOn w:val="Normal"/>
    <w:uiPriority w:val="99"/>
    <w:unhideWhenUsed/>
    <w:rsid w:val="0086504F"/>
    <w:pPr>
      <w:spacing w:before="100" w:beforeAutospacing="1" w:after="100" w:afterAutospacing="1" w:line="240" w:lineRule="auto"/>
      <w:jc w:val="left"/>
    </w:pPr>
    <w:rPr>
      <w:rFonts w:eastAsia="Times New Roman" w:cs="Times New Roman"/>
      <w:kern w:val="0"/>
      <w:sz w:val="24"/>
    </w:rPr>
  </w:style>
  <w:style w:type="paragraph" w:styleId="Header">
    <w:name w:val="header"/>
    <w:basedOn w:val="Normal"/>
    <w:link w:val="HeaderChar"/>
    <w:uiPriority w:val="99"/>
    <w:unhideWhenUsed/>
    <w:rsid w:val="00865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04F"/>
    <w:rPr>
      <w:rFonts w:ascii="Times New Roman" w:hAnsi="Times New Roman"/>
      <w:kern w:val="2"/>
      <w:sz w:val="28"/>
      <w:szCs w:val="24"/>
    </w:rPr>
  </w:style>
  <w:style w:type="paragraph" w:styleId="Footer">
    <w:name w:val="footer"/>
    <w:basedOn w:val="Normal"/>
    <w:link w:val="FooterChar"/>
    <w:uiPriority w:val="99"/>
    <w:semiHidden/>
    <w:unhideWhenUsed/>
    <w:rsid w:val="008650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6504F"/>
    <w:rPr>
      <w:rFonts w:ascii="Times New Roman" w:hAnsi="Times New Roman"/>
      <w:kern w:val="2"/>
      <w:sz w:val="28"/>
      <w:szCs w:val="24"/>
    </w:rPr>
  </w:style>
  <w:style w:type="character" w:styleId="Strong">
    <w:name w:val="Strong"/>
    <w:basedOn w:val="DefaultParagraphFont"/>
    <w:uiPriority w:val="22"/>
    <w:qFormat/>
    <w:rsid w:val="00A87F0F"/>
    <w:rPr>
      <w:b/>
      <w:bCs/>
    </w:rPr>
  </w:style>
  <w:style w:type="character" w:styleId="Emphasis">
    <w:name w:val="Emphasis"/>
    <w:basedOn w:val="DefaultParagraphFont"/>
    <w:uiPriority w:val="20"/>
    <w:qFormat/>
    <w:rsid w:val="00A87F0F"/>
    <w:rPr>
      <w:i/>
      <w:iCs/>
    </w:rPr>
  </w:style>
  <w:style w:type="character" w:customStyle="1" w:styleId="fontstyle01">
    <w:name w:val="fontstyle01"/>
    <w:basedOn w:val="DefaultParagraphFont"/>
    <w:rsid w:val="003D4A6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3D4A69"/>
    <w:rPr>
      <w:rFonts w:ascii="TimesNewRomanPS-ItalicMT" w:hAnsi="TimesNewRomanPS-ItalicMT" w:hint="default"/>
      <w:b w:val="0"/>
      <w:bCs w:val="0"/>
      <w:i/>
      <w:iCs/>
      <w:color w:val="000000"/>
      <w:sz w:val="28"/>
      <w:szCs w:val="28"/>
    </w:rPr>
  </w:style>
  <w:style w:type="table" w:styleId="TableGrid">
    <w:name w:val="Table Grid"/>
    <w:basedOn w:val="TableNormal"/>
    <w:uiPriority w:val="39"/>
    <w:rsid w:val="003D4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520711">
      <w:bodyDiv w:val="1"/>
      <w:marLeft w:val="0"/>
      <w:marRight w:val="0"/>
      <w:marTop w:val="0"/>
      <w:marBottom w:val="0"/>
      <w:divBdr>
        <w:top w:val="none" w:sz="0" w:space="0" w:color="auto"/>
        <w:left w:val="none" w:sz="0" w:space="0" w:color="auto"/>
        <w:bottom w:val="none" w:sz="0" w:space="0" w:color="auto"/>
        <w:right w:val="none" w:sz="0" w:space="0" w:color="auto"/>
      </w:divBdr>
    </w:div>
    <w:div w:id="112246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11700</Words>
  <Characters>66690</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tavuduyanh</dc:creator>
  <cp:lastModifiedBy>Tran Thi Thom</cp:lastModifiedBy>
  <cp:revision>2</cp:revision>
  <cp:lastPrinted>2026-07-21T09:40:00Z</cp:lastPrinted>
  <dcterms:created xsi:type="dcterms:W3CDTF">2026-08-21T09:24:00Z</dcterms:created>
  <dcterms:modified xsi:type="dcterms:W3CDTF">2026-08-21T09:24:00Z</dcterms:modified>
</cp:coreProperties>
</file>